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3.8.0 -->
  <w:body>
    <w:p w:rsidR="00322EE1" w:rsidRPr="00C95EA5" w:rsidP="004D39BE" w14:paraId="6A77F2B9" w14:textId="77777777">
      <w:pPr>
        <w:ind w:left="6237"/>
      </w:pPr>
      <w:r w:rsidRPr="00C95EA5">
        <w:t>APSTIPRINĀTS</w:t>
      </w:r>
    </w:p>
    <w:p w:rsidR="00322EE1" w:rsidRPr="00C95EA5" w:rsidP="004D39BE" w14:paraId="6A77F2BA" w14:textId="77777777">
      <w:pPr>
        <w:ind w:left="6237"/>
      </w:pPr>
      <w:r w:rsidRPr="00C95EA5">
        <w:t>Akciju sabiedrības “</w:t>
      </w:r>
      <w:r w:rsidRPr="00C95EA5">
        <w:t>Gaso</w:t>
      </w:r>
      <w:r w:rsidRPr="00C95EA5">
        <w:t xml:space="preserve">” </w:t>
      </w:r>
      <w:r w:rsidR="004D39BE">
        <w:t>v</w:t>
      </w:r>
      <w:r w:rsidRPr="00C95EA5">
        <w:t>aldes</w:t>
      </w:r>
    </w:p>
    <w:p w:rsidR="00322EE1" w:rsidRPr="003E07BC" w:rsidP="004D39BE" w14:paraId="6A77F2BB" w14:textId="59788188">
      <w:pPr>
        <w:ind w:left="6237"/>
      </w:pPr>
      <w:r w:rsidRPr="003E07BC">
        <w:t>2023</w:t>
      </w:r>
      <w:r w:rsidRPr="003E07BC" w:rsidR="001E5991">
        <w:t xml:space="preserve">.gada </w:t>
      </w:r>
      <w:r w:rsidRPr="003E07BC">
        <w:t>21</w:t>
      </w:r>
      <w:r w:rsidRPr="003E07BC" w:rsidR="001E5991">
        <w:t xml:space="preserve">. </w:t>
      </w:r>
      <w:r w:rsidRPr="003E07BC">
        <w:t>decembra</w:t>
      </w:r>
      <w:r w:rsidRPr="003E07BC" w:rsidR="001E5991">
        <w:t xml:space="preserve"> sēdē,</w:t>
      </w:r>
    </w:p>
    <w:p w:rsidR="00B93D45" w:rsidRPr="003E07BC" w:rsidP="004D39BE" w14:paraId="6A77F2BC" w14:textId="6872E7C0">
      <w:pPr>
        <w:ind w:left="6237"/>
      </w:pPr>
      <w:r w:rsidRPr="003E07BC">
        <w:t>protokol</w:t>
      </w:r>
      <w:r w:rsidRPr="003E07BC" w:rsidR="00022193">
        <w:t>s</w:t>
      </w:r>
      <w:r w:rsidRPr="003E07BC">
        <w:t xml:space="preserve"> Nr. </w:t>
      </w:r>
      <w:r w:rsidRPr="003E07BC" w:rsidR="003E07BC">
        <w:t>48(2023)</w:t>
      </w:r>
    </w:p>
    <w:p w:rsidR="00322EE1" w:rsidRPr="00FF0531" w:rsidP="004D39BE" w14:paraId="6A77F2BD" w14:textId="77777777">
      <w:pPr>
        <w:spacing w:before="360"/>
        <w:jc w:val="center"/>
        <w:rPr>
          <w:b/>
          <w:sz w:val="28"/>
          <w:szCs w:val="28"/>
        </w:rPr>
      </w:pPr>
      <w:r w:rsidRPr="00FF0531">
        <w:rPr>
          <w:b/>
          <w:noProof/>
          <w:sz w:val="28"/>
          <w:szCs w:val="28"/>
        </w:rPr>
        <w:t>Sadales sistēmas pakalpojumu tarifu pielietošanas kārtība</w:t>
      </w:r>
    </w:p>
    <w:p w:rsidR="00322EE1" w:rsidP="004D39BE" w14:paraId="6A77F2BE" w14:textId="77777777">
      <w:pPr>
        <w:spacing w:before="240" w:after="360"/>
        <w:jc w:val="center"/>
      </w:pPr>
      <w:r w:rsidRPr="00962937">
        <w:t>Rīgā</w:t>
      </w:r>
    </w:p>
    <w:tbl>
      <w:tblPr>
        <w:tblW w:w="9606" w:type="dxa"/>
        <w:tblLook w:val="04A0"/>
      </w:tblPr>
      <w:tblGrid>
        <w:gridCol w:w="5495"/>
        <w:gridCol w:w="4111"/>
      </w:tblGrid>
      <w:tr w14:paraId="6A77F2C1" w14:textId="77777777" w:rsidTr="00980204">
        <w:tblPrEx>
          <w:tblW w:w="9606" w:type="dxa"/>
          <w:tblLook w:val="04A0"/>
        </w:tblPrEx>
        <w:tc>
          <w:tcPr>
            <w:tcW w:w="5495" w:type="dxa"/>
            <w:shd w:val="clear" w:color="auto" w:fill="auto"/>
          </w:tcPr>
          <w:p w:rsidR="00322EE1" w:rsidP="00804E99" w14:paraId="6A77F2BF" w14:textId="77777777">
            <w:pPr>
              <w:ind w:left="-105"/>
            </w:pPr>
            <w:r>
              <w:t>Datums skatāms laika zīmogā</w:t>
            </w:r>
          </w:p>
        </w:tc>
        <w:tc>
          <w:tcPr>
            <w:tcW w:w="4111" w:type="dxa"/>
            <w:shd w:val="clear" w:color="auto" w:fill="auto"/>
          </w:tcPr>
          <w:p w:rsidR="00322EE1" w:rsidP="00DA734F" w14:paraId="6A77F2C0" w14:textId="77777777">
            <w:pPr>
              <w:ind w:right="-6"/>
              <w:jc w:val="right"/>
            </w:pPr>
            <w:r w:rsidRPr="00962937">
              <w:t>Nr</w:t>
            </w:r>
            <w:r w:rsidRPr="00962937">
              <w:t>.</w:t>
            </w:r>
            <w:r w:rsidRPr="00962937">
              <w:rPr>
                <w:noProof/>
              </w:rPr>
              <w:t>38/4-2</w:t>
            </w:r>
          </w:p>
        </w:tc>
      </w:tr>
    </w:tbl>
    <w:p w:rsidR="003E07BC" w:rsidP="003E07BC" w14:paraId="652B25B3" w14:textId="77777777">
      <w:pPr>
        <w:jc w:val="right"/>
        <w:rPr>
          <w:b/>
        </w:rPr>
      </w:pPr>
    </w:p>
    <w:p w:rsidR="003E07BC" w:rsidRPr="003E07BC" w:rsidP="003E07BC" w14:paraId="19B87021" w14:textId="41F4BE09">
      <w:pPr>
        <w:jc w:val="center"/>
        <w:rPr>
          <w:b/>
        </w:rPr>
      </w:pPr>
      <w:r w:rsidRPr="003E07BC">
        <w:rPr>
          <w:b/>
        </w:rPr>
        <w:t>I. Vispārīgie noteikumi</w:t>
      </w:r>
    </w:p>
    <w:p w:rsidR="003E07BC" w:rsidP="003E07BC" w14:paraId="53B25251" w14:textId="77777777">
      <w:pPr>
        <w:jc w:val="right"/>
      </w:pPr>
    </w:p>
    <w:p w:rsidR="003E07BC" w:rsidP="003E07BC" w14:paraId="7B0CCD55" w14:textId="77777777">
      <w:pPr>
        <w:ind w:firstLine="567"/>
        <w:jc w:val="both"/>
      </w:pPr>
      <w:r>
        <w:t>1. Kārtība nosaka dabasgāzes sadales sistēmas pakalpojumu tarifu pielietošanas kārtību.</w:t>
      </w:r>
    </w:p>
    <w:p w:rsidR="003E07BC" w:rsidP="003E07BC" w14:paraId="352E22E7" w14:textId="77777777">
      <w:pPr>
        <w:ind w:firstLine="567"/>
        <w:jc w:val="both"/>
      </w:pPr>
    </w:p>
    <w:p w:rsidR="003E07BC" w:rsidP="003E07BC" w14:paraId="45FDB67C" w14:textId="77777777">
      <w:pPr>
        <w:ind w:firstLine="567"/>
        <w:jc w:val="both"/>
      </w:pPr>
      <w:r>
        <w:t>2. Kārtība attiecas uz dabasgāzes lietotājiem (turpmāk – Lietotāji), kuriem ir rezervēta sadales tīkla jauda.</w:t>
      </w:r>
    </w:p>
    <w:p w:rsidR="003E07BC" w:rsidP="003E07BC" w14:paraId="314E8039" w14:textId="77777777">
      <w:pPr>
        <w:ind w:firstLine="567"/>
        <w:jc w:val="both"/>
      </w:pPr>
    </w:p>
    <w:p w:rsidR="003E07BC" w:rsidP="003E07BC" w14:paraId="2B99E7FF" w14:textId="77777777">
      <w:pPr>
        <w:ind w:firstLine="567"/>
        <w:jc w:val="both"/>
      </w:pPr>
      <w:r>
        <w:t>3. Akciju sabiedrība „</w:t>
      </w:r>
      <w:r>
        <w:t>Gaso</w:t>
      </w:r>
      <w:r>
        <w:t>” (turpmāk – Operators) dabasgāzes sadales sistēmas pakalpojumu tarifus (turpmāk – Tarifs) pielieto norēķiniem par dabasgāzes sadales sistēmas pakalpojumiem.</w:t>
      </w:r>
    </w:p>
    <w:p w:rsidR="003E07BC" w:rsidP="003E07BC" w14:paraId="4A65DA95" w14:textId="77777777">
      <w:pPr>
        <w:ind w:firstLine="567"/>
        <w:jc w:val="both"/>
      </w:pPr>
    </w:p>
    <w:p w:rsidR="003E07BC" w:rsidP="003E07BC" w14:paraId="407F61C4" w14:textId="77777777">
      <w:pPr>
        <w:ind w:firstLine="567"/>
        <w:jc w:val="both"/>
      </w:pPr>
      <w:r>
        <w:t xml:space="preserve">4. Lietotāji pēc Tarifu pielietošanas principiem tiek iedalīti divās grupās – Mājsaimniecības lietotāji (fiziskās personas, kuras dabasgāzi lieto mājsaimniecībā paša vajadzībām) un </w:t>
      </w:r>
      <w:r>
        <w:t>Komerclietotāji</w:t>
      </w:r>
      <w:r>
        <w:t xml:space="preserve"> (juridiskās vai fiziskās personas, kas lieto dabasgāzi komercdarbības nodrošināšanai).</w:t>
      </w:r>
    </w:p>
    <w:p w:rsidR="003E07BC" w:rsidP="003E07BC" w14:paraId="71D67BA9" w14:textId="77777777">
      <w:pPr>
        <w:ind w:firstLine="567"/>
        <w:jc w:val="both"/>
      </w:pPr>
    </w:p>
    <w:p w:rsidR="003E07BC" w:rsidP="003E07BC" w14:paraId="4C52EBF8" w14:textId="77777777">
      <w:pPr>
        <w:ind w:firstLine="567"/>
        <w:jc w:val="both"/>
      </w:pPr>
      <w:r>
        <w:t>5. Vispārīgā gadījumā Tarifs sastāv no mainīgās (S) un fiksētās (SF) maksas. Lietotāji ar specifisku sezonas patēriņa profilu var izvēlēties speciālo Tarifu objektiem ar sezonālu dabasgāzes patēriņu (turpmāk – Sezonas tarifs (</w:t>
      </w:r>
      <w:r>
        <w:t>Sez</w:t>
      </w:r>
      <w:r>
        <w:t>+)), kas satur tikai mainīgo maksas daļu. Lietotājs, kurš izvēlas Sezonas tarifu (</w:t>
      </w:r>
      <w:r>
        <w:t>Sez</w:t>
      </w:r>
      <w:r>
        <w:t xml:space="preserve">+), līdz esošā gada 10.decembrim </w:t>
      </w:r>
      <w:r>
        <w:t>nosūta</w:t>
      </w:r>
      <w:r>
        <w:t xml:space="preserve"> Operatoram iesniegumu Sezonas tarifa (</w:t>
      </w:r>
      <w:r>
        <w:t>Sez</w:t>
      </w:r>
      <w:r>
        <w:t>+) piemērošanai sākot no nākamā gada 1.janvāra. Pieteikta Sezonas tarifa (</w:t>
      </w:r>
      <w:r>
        <w:t>Sez</w:t>
      </w:r>
      <w:r>
        <w:t>+) saglabāšanai nākamajā periodā atkārtotais iesniegums Operatoram nav jāiesniedz.</w:t>
      </w:r>
    </w:p>
    <w:p w:rsidR="003E07BC" w:rsidP="003E07BC" w14:paraId="24336063" w14:textId="77777777">
      <w:pPr>
        <w:ind w:firstLine="567"/>
        <w:jc w:val="both"/>
      </w:pPr>
    </w:p>
    <w:p w:rsidR="003E07BC" w:rsidP="003E07BC" w14:paraId="620580E4" w14:textId="77777777">
      <w:pPr>
        <w:ind w:firstLine="567"/>
        <w:jc w:val="both"/>
      </w:pPr>
      <w:r>
        <w:t>6. Fiksēto (SF) un mainīgo (S) maksu par dabasgāzes sadales sistēmas pakalpojumiem iekasē dabasgāzes tirgotāji katrā norēķinu periodā.</w:t>
      </w:r>
    </w:p>
    <w:p w:rsidR="003E07BC" w:rsidP="003E07BC" w14:paraId="082E9D3F" w14:textId="77777777">
      <w:pPr>
        <w:ind w:firstLine="567"/>
        <w:jc w:val="both"/>
      </w:pPr>
    </w:p>
    <w:p w:rsidR="003E07BC" w:rsidP="003E07BC" w14:paraId="7F533B5F" w14:textId="77777777">
      <w:pPr>
        <w:ind w:firstLine="567"/>
        <w:jc w:val="both"/>
      </w:pPr>
      <w:r>
        <w:t xml:space="preserve">7. Šīs kārtības izpratnē ar dabasgāzes kubikmetru (m3) tiek saprasts dabasgāzes kubikmetrs standarta apstākļos (dabasgāzes spiediens ir 101,325 </w:t>
      </w:r>
      <w:r>
        <w:t>kPa</w:t>
      </w:r>
      <w:r>
        <w:t xml:space="preserve"> un temperatūra 20 °C).</w:t>
      </w:r>
    </w:p>
    <w:p w:rsidR="003E07BC" w:rsidP="003E07BC" w14:paraId="3719A246" w14:textId="77777777">
      <w:pPr>
        <w:ind w:left="567" w:firstLine="567"/>
        <w:jc w:val="right"/>
      </w:pPr>
    </w:p>
    <w:p w:rsidR="003E07BC" w:rsidRPr="003E07BC" w:rsidP="003E07BC" w14:paraId="6D732D85" w14:textId="77777777">
      <w:pPr>
        <w:ind w:firstLine="567"/>
        <w:jc w:val="center"/>
        <w:rPr>
          <w:b/>
        </w:rPr>
      </w:pPr>
      <w:r w:rsidRPr="003E07BC">
        <w:rPr>
          <w:b/>
        </w:rPr>
        <w:t>II. Maksa par dabasgāzes piegādi – mainīgā maksa</w:t>
      </w:r>
    </w:p>
    <w:p w:rsidR="003E07BC" w:rsidP="003E07BC" w14:paraId="76A63C34" w14:textId="77777777">
      <w:pPr>
        <w:ind w:left="567" w:firstLine="567"/>
        <w:jc w:val="right"/>
      </w:pPr>
    </w:p>
    <w:p w:rsidR="003E07BC" w:rsidP="003E07BC" w14:paraId="62607E84" w14:textId="77777777">
      <w:pPr>
        <w:ind w:firstLine="567"/>
        <w:jc w:val="both"/>
      </w:pPr>
      <w:r>
        <w:t>8. Mainīgās (S) maksas apmērs ir atkarīgs no tarifa veida (S1 – S7), kuru gazificētajam objektam nosaka pēc piederības dabasgāzes gada patēriņa grupai (turpmāk – Patēriņa grupa), kas aprēķināta kilovatstundās (</w:t>
      </w:r>
      <w:r>
        <w:t>kWh</w:t>
      </w:r>
      <w:r>
        <w:t>).</w:t>
      </w:r>
    </w:p>
    <w:p w:rsidR="003E07BC" w:rsidP="003E07BC" w14:paraId="2AE26FE3" w14:textId="77777777">
      <w:pPr>
        <w:ind w:firstLine="567"/>
        <w:jc w:val="both"/>
      </w:pPr>
    </w:p>
    <w:p w:rsidR="003E07BC" w:rsidP="003E07BC" w14:paraId="4BEB1A73" w14:textId="77777777">
      <w:pPr>
        <w:ind w:firstLine="567"/>
        <w:jc w:val="both"/>
      </w:pPr>
      <w:r>
        <w:t>9. Gazificētajam objektam ar vēsturisko dabasgāzes patēriņu piederību Patēriņa grupai nosaka, pamatojoties uz iepriekšējā gada faktisko dabasgāzes patēriņu.</w:t>
      </w:r>
    </w:p>
    <w:p w:rsidR="003E07BC" w:rsidP="003E07BC" w14:paraId="15629675" w14:textId="77777777">
      <w:pPr>
        <w:ind w:firstLine="567"/>
        <w:jc w:val="both"/>
      </w:pPr>
    </w:p>
    <w:p w:rsidR="003E07BC" w:rsidP="003E07BC" w14:paraId="0232B078" w14:textId="77777777">
      <w:pPr>
        <w:ind w:firstLine="567"/>
        <w:jc w:val="both"/>
      </w:pPr>
      <w:r>
        <w:t>10. Gazificētajam objektam bez vēsturiskā dabasgāzes patēriņa piederību Patēriņa grupai nosaka saskaņā ar aprēķinātu patēriņu pilnam kalendārajam gadam, ņemot vērā atļauto maksimālo slodzi tehniskajā projektā.</w:t>
      </w:r>
    </w:p>
    <w:p w:rsidR="003E07BC" w:rsidP="003E07BC" w14:paraId="6DA89447" w14:textId="77777777">
      <w:pPr>
        <w:ind w:firstLine="567"/>
        <w:jc w:val="both"/>
      </w:pPr>
    </w:p>
    <w:p w:rsidR="003E07BC" w:rsidP="003E07BC" w14:paraId="774D59D5" w14:textId="77777777">
      <w:pPr>
        <w:ind w:firstLine="567"/>
        <w:jc w:val="both"/>
      </w:pPr>
      <w:r>
        <w:t>11. Gazificētajiem objektiem, kuri atbilst Ministru kabineta 2017. gada 7. februāra noteikumu Nr.78 “Dabasgāzes tirdzniecības un lietošanas noteikumi” (turpmāk – Noteikumi) 156. un 157.punktā noteiktajam, piederību Patēriņa grupai nosaka, summējot visu attiecīgo objektu gada patēriņus.</w:t>
      </w:r>
    </w:p>
    <w:p w:rsidR="003E07BC" w:rsidP="003E07BC" w14:paraId="6D7C42D4" w14:textId="77777777">
      <w:pPr>
        <w:ind w:firstLine="567"/>
        <w:jc w:val="both"/>
      </w:pPr>
    </w:p>
    <w:p w:rsidR="003E07BC" w:rsidP="003E07BC" w14:paraId="531CA1FF" w14:textId="77777777">
      <w:pPr>
        <w:ind w:firstLine="567"/>
        <w:jc w:val="both"/>
      </w:pPr>
      <w:r>
        <w:t xml:space="preserve">12. Mājsaimniecības lietotājiem, kuru gazificētajā objektā nav uzstādīts komercuzskaites mēraparāts, nosakot lietotāja piederību Patēriņa grupai, tiek izmantotas Noteikumos apstiprinātās dabasgāzes diferencētās patēriņa normas. </w:t>
      </w:r>
    </w:p>
    <w:p w:rsidR="003E07BC" w:rsidP="003E07BC" w14:paraId="0C7F8B88" w14:textId="77777777">
      <w:pPr>
        <w:ind w:firstLine="567"/>
        <w:jc w:val="right"/>
      </w:pPr>
    </w:p>
    <w:p w:rsidR="003E07BC" w:rsidRPr="003E07BC" w:rsidP="003E07BC" w14:paraId="1418965C" w14:textId="77777777">
      <w:pPr>
        <w:ind w:firstLine="567"/>
        <w:jc w:val="center"/>
        <w:rPr>
          <w:b/>
        </w:rPr>
      </w:pPr>
      <w:r w:rsidRPr="003E07BC">
        <w:rPr>
          <w:b/>
        </w:rPr>
        <w:t>III. Maksa sadales sistēmas jaudas uzturēšanai – fiksētā maksa</w:t>
      </w:r>
    </w:p>
    <w:p w:rsidR="003E07BC" w:rsidP="003E07BC" w14:paraId="0E4CF282" w14:textId="77777777">
      <w:pPr>
        <w:ind w:firstLine="567"/>
        <w:jc w:val="right"/>
      </w:pPr>
    </w:p>
    <w:p w:rsidR="003E07BC" w:rsidP="003E07BC" w14:paraId="390029B6" w14:textId="77777777">
      <w:pPr>
        <w:ind w:firstLine="567"/>
        <w:jc w:val="both"/>
      </w:pPr>
      <w:r>
        <w:t>13. Fiksēto maksājumu aprēķina katram Lietotāja gazificētajam objektam atsevišķi.</w:t>
      </w:r>
    </w:p>
    <w:p w:rsidR="003E07BC" w:rsidP="003E07BC" w14:paraId="564D05B4" w14:textId="77777777">
      <w:pPr>
        <w:ind w:firstLine="567"/>
        <w:jc w:val="both"/>
      </w:pPr>
    </w:p>
    <w:p w:rsidR="003E07BC" w:rsidP="003E07BC" w14:paraId="63E0BB61" w14:textId="77777777">
      <w:pPr>
        <w:ind w:firstLine="567"/>
        <w:jc w:val="both"/>
      </w:pPr>
      <w:r>
        <w:t>14. Gazificētā objekta fiksēto mēneša maksu Operators nosaka kā 1/12 daļu no objektam noteiktās fiksētās gada maksas.</w:t>
      </w:r>
    </w:p>
    <w:p w:rsidR="003E07BC" w:rsidP="003E07BC" w14:paraId="3F817525" w14:textId="77777777">
      <w:pPr>
        <w:ind w:firstLine="567"/>
        <w:jc w:val="both"/>
      </w:pPr>
    </w:p>
    <w:p w:rsidR="003E07BC" w:rsidP="003E07BC" w14:paraId="6477DE69" w14:textId="77777777">
      <w:pPr>
        <w:ind w:firstLine="567"/>
        <w:jc w:val="both"/>
      </w:pPr>
      <w:r>
        <w:t>15. Mājsaimniecības lietotājiem fiksēto maksu Operators piemēro, ja objektā ir nodrošināta iespēja lietot dabasgāzi. Ja gazificētā objektā nav iespējams lietot dabasgāzi un saņemt sistēmas pakalpojumu un Operatoram tiek nodrošināta iespēja par to pārliecināties, apsekojot objektu, Operators no fakta konstatācijas datuma fiksēto maksu nepiemēro.</w:t>
      </w:r>
    </w:p>
    <w:p w:rsidR="003E07BC" w:rsidP="003E07BC" w14:paraId="659C5768" w14:textId="77777777">
      <w:pPr>
        <w:jc w:val="both"/>
      </w:pPr>
    </w:p>
    <w:p w:rsidR="003E07BC" w:rsidP="003E07BC" w14:paraId="39D214E3" w14:textId="77777777">
      <w:pPr>
        <w:ind w:firstLine="567"/>
        <w:jc w:val="both"/>
      </w:pPr>
      <w:r>
        <w:t>16. Mājsaimniecības lietotājiem, kuru gazificētajā objektā nav uzstādīts komercuzskaites mēraparāts, fiksētā maksa tiek aprēķināta, ņemot vērā lietotājam uzstādītās dabasgāzes iekārtu un aparatūru maksimālo iespējamo slodzi.</w:t>
      </w:r>
    </w:p>
    <w:p w:rsidR="003E07BC" w:rsidP="003E07BC" w14:paraId="4B7815B7" w14:textId="77777777">
      <w:pPr>
        <w:ind w:firstLine="567"/>
        <w:jc w:val="both"/>
      </w:pPr>
    </w:p>
    <w:p w:rsidR="003E07BC" w:rsidP="003E07BC" w14:paraId="58E5F1BC" w14:textId="77777777">
      <w:pPr>
        <w:ind w:firstLine="567"/>
        <w:jc w:val="both"/>
      </w:pPr>
      <w:r>
        <w:t xml:space="preserve">17. </w:t>
      </w:r>
      <w:r>
        <w:t>Komerclietotājiem</w:t>
      </w:r>
      <w:r>
        <w:t xml:space="preserve"> fiksēto maksu Operators piemēro, ja ir spēkā esošs dabasgāzes tirdzniecības līgums vai gazificētajā objektā dabasgāze tiek piegādāta pēdējās garantētās piegādes ietvaros. Par objektu, kurā dabasgāzes piegāde ir pārtraukta un nav aktīva tirdzniecības līguma, fiksēto maksu Operators nepiemēro, izņemot 25.punktā minēto gadījumu.</w:t>
      </w:r>
    </w:p>
    <w:p w:rsidR="003E07BC" w:rsidP="003E07BC" w14:paraId="0877947D" w14:textId="77777777">
      <w:pPr>
        <w:ind w:firstLine="567"/>
        <w:jc w:val="both"/>
      </w:pPr>
    </w:p>
    <w:p w:rsidR="003E07BC" w:rsidP="003E07BC" w14:paraId="6E88350E" w14:textId="77777777">
      <w:pPr>
        <w:ind w:firstLine="567"/>
        <w:jc w:val="both"/>
      </w:pPr>
      <w:r>
        <w:t>18. Lietotāja objektam, kurš ir izvēlējies Sezonas tarifu (</w:t>
      </w:r>
      <w:r>
        <w:t>Sez</w:t>
      </w:r>
      <w:r>
        <w:t>+), Operators fiksēto maksu nepiemēro.</w:t>
      </w:r>
    </w:p>
    <w:p w:rsidR="003E07BC" w:rsidP="003E07BC" w14:paraId="7A685C62" w14:textId="77777777">
      <w:pPr>
        <w:ind w:firstLine="567"/>
        <w:jc w:val="both"/>
      </w:pPr>
    </w:p>
    <w:p w:rsidR="003E07BC" w:rsidP="003E07BC" w14:paraId="10AD1703" w14:textId="77777777">
      <w:pPr>
        <w:ind w:firstLine="567"/>
        <w:jc w:val="both"/>
      </w:pPr>
      <w:r>
        <w:t>19. Gazificētajos objektos ar atļauto maksimālo slodzi līdz 65 m3/h (ieskaitot) fiksēto gada maksu (SF1 – SF6) nosaka pēc darbināmo iekārtu kopējās maksimālās slodzes vai uzstādītā komercuzskaites mēraparāta maksimālās caurplūdes (6, 10, 16, 25, 40 un 65 m3/h) noteiktā slodzes diapazona.</w:t>
      </w:r>
    </w:p>
    <w:p w:rsidR="003E07BC" w:rsidP="003E07BC" w14:paraId="5B5887DC" w14:textId="77777777">
      <w:pPr>
        <w:ind w:firstLine="567"/>
        <w:jc w:val="both"/>
      </w:pPr>
    </w:p>
    <w:p w:rsidR="003E07BC" w:rsidP="003E07BC" w14:paraId="6E60DE7B" w14:textId="77777777">
      <w:pPr>
        <w:ind w:firstLine="567"/>
        <w:jc w:val="both"/>
      </w:pPr>
      <w:r>
        <w:t>20. Gazificētajos objektos ar maksimālo atļauto slodzi virs 65 m3/h fiksēto maksu (SF7) nosaka pēc objektā atļautās maksimālās slodzes lieluma.</w:t>
      </w:r>
    </w:p>
    <w:p w:rsidR="003E07BC" w:rsidP="003E07BC" w14:paraId="1544138A" w14:textId="77777777">
      <w:pPr>
        <w:ind w:firstLine="567"/>
        <w:jc w:val="both"/>
      </w:pPr>
    </w:p>
    <w:p w:rsidR="003E07BC" w:rsidP="00E46F89" w14:paraId="6FAE5C89" w14:textId="77777777">
      <w:pPr>
        <w:ind w:firstLine="709"/>
        <w:jc w:val="both"/>
      </w:pPr>
      <w:r>
        <w:t xml:space="preserve">21. Ja Lietotāja gazificētā objekta atļautā slodze ir virs 65 m3/h un gazificētā objekta komercuzskaites mēraparāts ir aprīkots ar sistēmu komercuzskaites mēraparāta operatīvo datu automatizētai attālinātai nolasīšanai (telemetrija), tad vienu reizi kalendārajā gadā līdz 10.decembrim, Lietotājs, iesniedzot iesniegumu (pielikumā), var pieteikt zemāku atļauto slodzi par </w:t>
      </w:r>
      <w:r>
        <w:t>lietotāja dabasgāzes iekārtu un aparātu kopīgo maksimāli iespējamo slodzi (turpmāk – pieteiktā slodze), sākot ar nākamo kalendāro gadu (1.janvāri). Lietotājs pieteikto slodzi var samazināt līdz 50% no objekta atļautās maksimālās slodzes, bet ne zemāk par 66 m3/h. Ja Lietotājs atbilstoši šajā punktā noteiktajai kārtībai ir pieteicis zemāku atļauto slodzi, tad Operators, nosaka fiksētās maksas apmēru, par pamatu ņemot pieteikto slodzi.</w:t>
      </w:r>
    </w:p>
    <w:p w:rsidR="003E07BC" w:rsidP="00E46F89" w14:paraId="0F20F7F2" w14:textId="77777777">
      <w:pPr>
        <w:ind w:firstLine="709"/>
        <w:jc w:val="both"/>
      </w:pPr>
    </w:p>
    <w:p w:rsidR="003E07BC" w:rsidP="00E46F89" w14:paraId="7ED4C245" w14:textId="77777777">
      <w:pPr>
        <w:ind w:firstLine="709"/>
        <w:jc w:val="both"/>
      </w:pPr>
      <w:r>
        <w:t>22. Ja Operators konstatē, ka gazificētajā objektā norēķinu periodā (viens kalendārais mēnesis) Lietotājs pārsniedz pieteikto slodzi, Operators nosaka papildu maksu trīskāršā apmērā par norēķinu periodā konstatēto lielāko pārsniegtās pieteiktās slodzes lielumu. Papildu maksu par pieteiktās slodzes pārsniegšanu iekasē dabasgāzes tirgotāji katrā norēķinu periodā, kad pārsniegta pieteiktā slodze. Papildu maksa tiek noteikta pēc šādas formulas:</w:t>
      </w:r>
    </w:p>
    <w:p w:rsidR="003E07BC" w:rsidP="00E46F89" w14:paraId="432DDC95" w14:textId="77777777">
      <w:pPr>
        <w:ind w:firstLine="709"/>
        <w:jc w:val="both"/>
      </w:pPr>
    </w:p>
    <w:p w:rsidR="003E07BC" w:rsidP="00E46F89" w14:paraId="5174225C" w14:textId="77777777">
      <w:pPr>
        <w:ind w:firstLine="709"/>
        <w:jc w:val="center"/>
      </w:pPr>
      <w:r>
        <w:t>Pm</w:t>
      </w:r>
      <w:r>
        <w:t>=(</w:t>
      </w:r>
      <w:r>
        <w:t>Ck-Cp</w:t>
      </w:r>
      <w:r>
        <w:t>)*3</w:t>
      </w:r>
    </w:p>
    <w:p w:rsidR="003E07BC" w:rsidP="00E46F89" w14:paraId="6F570247" w14:textId="77777777">
      <w:pPr>
        <w:ind w:firstLine="709"/>
        <w:jc w:val="both"/>
      </w:pPr>
    </w:p>
    <w:p w:rsidR="003E07BC" w:rsidP="00E46F89" w14:paraId="77FF5C58" w14:textId="77777777">
      <w:pPr>
        <w:ind w:firstLine="709"/>
        <w:jc w:val="both"/>
      </w:pPr>
      <w:r>
        <w:t>Kur:</w:t>
      </w:r>
    </w:p>
    <w:p w:rsidR="003E07BC" w:rsidP="00E46F89" w14:paraId="1A86943B" w14:textId="77777777">
      <w:pPr>
        <w:ind w:firstLine="709"/>
        <w:jc w:val="both"/>
      </w:pPr>
      <w:r>
        <w:t>Pm</w:t>
      </w:r>
      <w:r>
        <w:t xml:space="preserve"> – papildus maksa par pieteiktās slodzes pārsniegšanu;</w:t>
      </w:r>
    </w:p>
    <w:p w:rsidR="003E07BC" w:rsidP="00E46F89" w14:paraId="37F16371" w14:textId="77777777">
      <w:pPr>
        <w:ind w:firstLine="709"/>
        <w:jc w:val="both"/>
      </w:pPr>
      <w:r>
        <w:t>Cp</w:t>
      </w:r>
      <w:r>
        <w:t xml:space="preserve"> – lietotājam piemērojamā mēneša fiksētā maksa par pieteikto slodzi;</w:t>
      </w:r>
    </w:p>
    <w:p w:rsidR="003E07BC" w:rsidP="00E46F89" w14:paraId="4280AEE2" w14:textId="77777777">
      <w:pPr>
        <w:ind w:firstLine="709"/>
        <w:jc w:val="both"/>
      </w:pPr>
      <w:r>
        <w:t>Ck</w:t>
      </w:r>
      <w:r>
        <w:t xml:space="preserve"> – mēneša maksa, kas piemērojama lietotājam atbilstoši norēķinu periodā konstatētajai faktiskajai slodzei.</w:t>
      </w:r>
    </w:p>
    <w:p w:rsidR="003E07BC" w:rsidP="00E46F89" w14:paraId="5DC1DCDB" w14:textId="77777777">
      <w:pPr>
        <w:ind w:firstLine="709"/>
        <w:jc w:val="both"/>
      </w:pPr>
    </w:p>
    <w:p w:rsidR="003E07BC" w:rsidP="00E46F89" w14:paraId="7142A5B5" w14:textId="77777777">
      <w:pPr>
        <w:ind w:firstLine="709"/>
        <w:jc w:val="both"/>
      </w:pPr>
      <w:r>
        <w:t>23. Ja tirdzniecības vai universālā pakalpojuma līguma darbība tiek uzsākta vai pārtraukta norēķinu perioda laikā, tad fiksēto maksu aprēķina proporcionāli dienu skaitam mēnesī.</w:t>
      </w:r>
    </w:p>
    <w:p w:rsidR="003E07BC" w:rsidP="00E46F89" w14:paraId="24DBFD07" w14:textId="77777777">
      <w:pPr>
        <w:ind w:firstLine="709"/>
        <w:jc w:val="both"/>
      </w:pPr>
    </w:p>
    <w:p w:rsidR="003E07BC" w:rsidP="00E46F89" w14:paraId="2686BB27" w14:textId="77777777">
      <w:pPr>
        <w:ind w:firstLine="709"/>
        <w:jc w:val="both"/>
      </w:pPr>
      <w:r>
        <w:t>24. Mājsaimniecības Lietotājam Operators fiksēto mēneša maksu aprēķina proporcionāli dienu skaitam mēnesī, kad gazificētajā objektā tika nodrošināta dabasgāzes piegāde.</w:t>
      </w:r>
    </w:p>
    <w:p w:rsidR="003E07BC" w:rsidP="00E46F89" w14:paraId="19C69732" w14:textId="77777777">
      <w:pPr>
        <w:ind w:firstLine="709"/>
        <w:jc w:val="both"/>
      </w:pPr>
    </w:p>
    <w:p w:rsidR="003E07BC" w:rsidP="00E46F89" w14:paraId="72A30C56" w14:textId="77777777">
      <w:pPr>
        <w:ind w:firstLine="709"/>
        <w:jc w:val="both"/>
      </w:pPr>
      <w:r>
        <w:t xml:space="preserve">25. Ja </w:t>
      </w:r>
      <w:r>
        <w:t>Komerclietotājs</w:t>
      </w:r>
      <w:r>
        <w:t xml:space="preserve"> ir izbeidzis dabasgāzes tirdzniecības līgumu vai tirgotājs ir izbeidzis līgumu ar </w:t>
      </w:r>
      <w:r>
        <w:t>Komerclietotāju</w:t>
      </w:r>
      <w:r>
        <w:t xml:space="preserve">, vai </w:t>
      </w:r>
      <w:r>
        <w:t>Komerclietotājam</w:t>
      </w:r>
      <w:r>
        <w:t xml:space="preserve"> ir bijusi pārtraukta pēdējās garantētās piegādes pakalpojuma sniegšana gazificētajā objektā un šis </w:t>
      </w:r>
      <w:r>
        <w:t>Komerclietotājs</w:t>
      </w:r>
      <w:r>
        <w:t xml:space="preserve"> divpadsmit mēnešu laikā piesaka dabasgāzes piegādes atjaunošanu un noslēdz jaunu tirdzniecības līgumu, tam ir jāapmaksā visa nesamaksātā fiksētā gada maksājumu daļa saskaņā ar Operatora izrakstīto rēķinu. Operators atjauno dabasgāzes piegādi pēc rēķina apmaksas.</w:t>
      </w:r>
    </w:p>
    <w:p w:rsidR="003E07BC" w:rsidP="003E07BC" w14:paraId="741D41C4" w14:textId="77777777">
      <w:pPr>
        <w:jc w:val="both"/>
      </w:pPr>
    </w:p>
    <w:p w:rsidR="003E07BC" w:rsidRPr="00E46F89" w:rsidP="00E46F89" w14:paraId="2170E63B" w14:textId="77777777">
      <w:pPr>
        <w:jc w:val="center"/>
        <w:rPr>
          <w:b/>
        </w:rPr>
      </w:pPr>
      <w:r w:rsidRPr="00E46F89">
        <w:rPr>
          <w:b/>
        </w:rPr>
        <w:t>IV. Sezonas tarifi</w:t>
      </w:r>
    </w:p>
    <w:p w:rsidR="003E07BC" w:rsidP="003E07BC" w14:paraId="033D19D0" w14:textId="77777777">
      <w:pPr>
        <w:jc w:val="both"/>
      </w:pPr>
    </w:p>
    <w:p w:rsidR="003E07BC" w:rsidP="00E46F89" w14:paraId="5A13F2C3" w14:textId="77777777">
      <w:pPr>
        <w:ind w:firstLine="709"/>
        <w:jc w:val="both"/>
      </w:pPr>
      <w:r>
        <w:t>26. Gazificētā objekta Lietotājam ar dabasgāzes gada patēriņu virs 250 m3, ja iepriekšējā gadā no 1.maija līdz 30.novembrim dabasgāzes patēriņš ir bijis virs 85% no objekta gada patēriņa, ir iespēja izvēlēties Sezonas tarifu, kas sastāv tikai no mainīgās daļas, atbilstoši piekrītošai sadales apjoma tarifu grupai (Sez2+ - Sez4+). Lietotājam, kurš gazificētajā objektā izvēlas sezonas tarifu, ir pienākums katru mēnesi ziņot rādījumu.</w:t>
      </w:r>
    </w:p>
    <w:p w:rsidR="003E07BC" w:rsidP="00E46F89" w14:paraId="4A551781" w14:textId="77777777">
      <w:pPr>
        <w:ind w:firstLine="709"/>
        <w:jc w:val="both"/>
      </w:pPr>
    </w:p>
    <w:p w:rsidR="003E07BC" w:rsidP="00E46F89" w14:paraId="3D739996" w14:textId="77777777">
      <w:pPr>
        <w:ind w:firstLine="709"/>
        <w:jc w:val="both"/>
      </w:pPr>
      <w:r>
        <w:t>27. Ja gazificētā objektā ar dabasgāzes gada patēriņu virs 250 m3, kam noteikts sezonas tarifs, iepriekšējā kalendārā gadā no 1.maija līdz 30.novembrim dabasgāzes patēriņš ir bijis zem 85% no objekta gada patēriņa, objektam tiek atcelta sezonas tarifa piemērošana un lietotājs veic norēķinus par mainīgo un fiksēto maksu pēc pieprasītās slodzes atbilstoši piekrītošai sadales apjoma tarifu grupai.</w:t>
      </w:r>
    </w:p>
    <w:p w:rsidR="003E07BC" w:rsidP="003E07BC" w14:paraId="16D7F4A6" w14:textId="77777777">
      <w:pPr>
        <w:jc w:val="both"/>
      </w:pPr>
    </w:p>
    <w:p w:rsidR="003E07BC" w:rsidRPr="00E46F89" w:rsidP="00E46F89" w14:paraId="75D14005" w14:textId="77777777">
      <w:pPr>
        <w:jc w:val="center"/>
        <w:rPr>
          <w:b/>
        </w:rPr>
      </w:pPr>
      <w:r w:rsidRPr="00E46F89">
        <w:rPr>
          <w:b/>
        </w:rPr>
        <w:t>V. Fiksētās maksas maiņa un tarifu pārrēķins</w:t>
      </w:r>
    </w:p>
    <w:p w:rsidR="003E07BC" w:rsidP="003E07BC" w14:paraId="7791F719" w14:textId="77777777">
      <w:pPr>
        <w:jc w:val="both"/>
      </w:pPr>
    </w:p>
    <w:p w:rsidR="003E07BC" w:rsidP="00E46F89" w14:paraId="35C180E1" w14:textId="77777777">
      <w:pPr>
        <w:ind w:firstLine="709"/>
        <w:jc w:val="both"/>
      </w:pPr>
      <w:r>
        <w:t>28. Ja gazificētajā objektā Lietotājs piesaka izmainīt atļauto maksimālo slodzi, Operators to maina pēc attiecīga abpusēja akta/līguma parakstīšanas ar nākamā kalendārā mēneša pirmo datumu un piemēro jauno fiksēto maksu.</w:t>
      </w:r>
    </w:p>
    <w:p w:rsidR="003E07BC" w:rsidP="00E46F89" w14:paraId="5B7A08E2" w14:textId="77777777">
      <w:pPr>
        <w:ind w:firstLine="709"/>
        <w:jc w:val="both"/>
      </w:pPr>
    </w:p>
    <w:p w:rsidR="003E07BC" w:rsidP="00E46F89" w14:paraId="73B3BB70" w14:textId="77777777">
      <w:pPr>
        <w:ind w:firstLine="709"/>
        <w:jc w:val="both"/>
      </w:pPr>
      <w:r>
        <w:t>29. Noslēdzoties kalendārajam gadam, Operators veic gazificēto objektu tarifa pārrēķinu atbilstoši faktiskajam dabasgāzes gada patēriņam.</w:t>
      </w:r>
    </w:p>
    <w:p w:rsidR="003E07BC" w:rsidP="003E07BC" w14:paraId="512AA2C2" w14:textId="77777777">
      <w:pPr>
        <w:jc w:val="both"/>
      </w:pPr>
    </w:p>
    <w:p w:rsidR="003E07BC" w:rsidP="00E46F89" w14:paraId="6BB2DC0B" w14:textId="77777777">
      <w:pPr>
        <w:ind w:firstLine="709"/>
        <w:jc w:val="both"/>
      </w:pPr>
      <w:r>
        <w:t>30. Gazificētā objekta Tarifa pārrēķina rēķinu Operators izraksta tirgotājam, kurš nodrošina Lietotājam dabasgāzes piegādi tarifu pārrēķina brīdī. Ja Lietotājam nav spēkā esošs dabasgāzes tirdzniecības līgums, korekcijas rēķinu izraksta tirgotājam, kurš pēdējais nodrošināja dabasgāzes piegādi.</w:t>
      </w:r>
    </w:p>
    <w:p w:rsidR="003E07BC" w:rsidP="00E46F89" w14:paraId="47B07D98" w14:textId="77777777">
      <w:pPr>
        <w:ind w:firstLine="709"/>
        <w:jc w:val="both"/>
      </w:pPr>
    </w:p>
    <w:p w:rsidR="003E07BC" w:rsidRPr="00E46F89" w:rsidP="00E46F89" w14:paraId="58CF03C3" w14:textId="77777777">
      <w:pPr>
        <w:ind w:firstLine="709"/>
        <w:jc w:val="center"/>
        <w:rPr>
          <w:b/>
        </w:rPr>
      </w:pPr>
      <w:r w:rsidRPr="00E46F89">
        <w:rPr>
          <w:b/>
        </w:rPr>
        <w:t>VI. Tarifu apzīmējumi</w:t>
      </w:r>
    </w:p>
    <w:p w:rsidR="003E07BC" w:rsidP="00E46F89" w14:paraId="18D03DFD" w14:textId="77777777">
      <w:pPr>
        <w:ind w:firstLine="709"/>
        <w:jc w:val="both"/>
      </w:pPr>
    </w:p>
    <w:p w:rsidR="003E07BC" w:rsidP="00E46F89" w14:paraId="07E6C6D7" w14:textId="77777777">
      <w:pPr>
        <w:ind w:firstLine="709"/>
        <w:jc w:val="both"/>
      </w:pPr>
      <w:r>
        <w:t xml:space="preserve">31. S – mainīgā tarifa maksa (EUR/ 1000 </w:t>
      </w:r>
      <w:r>
        <w:t>kWh</w:t>
      </w:r>
      <w:r>
        <w:t>):</w:t>
      </w:r>
    </w:p>
    <w:p w:rsidR="003E07BC" w:rsidP="00E46F89" w14:paraId="3B66D4DD" w14:textId="77777777">
      <w:pPr>
        <w:ind w:firstLine="709"/>
        <w:jc w:val="both"/>
      </w:pPr>
      <w:r>
        <w:t xml:space="preserve">31.1. S1 – mainīgā tarifa maksa 1.grupa (līdz 2635 </w:t>
      </w:r>
      <w:r>
        <w:t>kWh</w:t>
      </w:r>
      <w:r>
        <w:t xml:space="preserve">);    </w:t>
      </w:r>
    </w:p>
    <w:p w:rsidR="003E07BC" w:rsidP="00E46F89" w14:paraId="7300E2F2" w14:textId="77777777">
      <w:pPr>
        <w:ind w:firstLine="709"/>
        <w:jc w:val="both"/>
      </w:pPr>
      <w:r>
        <w:t xml:space="preserve">31.2. S2 – mainīgā tarifa maksa 2.grupa (no 2635,1 </w:t>
      </w:r>
      <w:r>
        <w:t>kWh</w:t>
      </w:r>
      <w:r>
        <w:t xml:space="preserve"> līdz 263 450 </w:t>
      </w:r>
      <w:r>
        <w:t>kWh</w:t>
      </w:r>
      <w:r>
        <w:t xml:space="preserve">);   </w:t>
      </w:r>
    </w:p>
    <w:p w:rsidR="003E07BC" w:rsidP="00E46F89" w14:paraId="040F54C1" w14:textId="77777777">
      <w:pPr>
        <w:ind w:firstLine="709"/>
        <w:jc w:val="both"/>
      </w:pPr>
      <w:r>
        <w:t xml:space="preserve">31.3. S3 – mainīgā tarifa maksa 3.grupa (no 263 450,1 </w:t>
      </w:r>
      <w:r>
        <w:t>kWh</w:t>
      </w:r>
      <w:r>
        <w:t xml:space="preserve"> līdz 1 327 788 </w:t>
      </w:r>
      <w:r>
        <w:t>kWh</w:t>
      </w:r>
      <w:r>
        <w:t xml:space="preserve">);   </w:t>
      </w:r>
    </w:p>
    <w:p w:rsidR="003E07BC" w:rsidP="00E46F89" w14:paraId="5B3326E2" w14:textId="77777777">
      <w:pPr>
        <w:ind w:firstLine="709"/>
        <w:jc w:val="both"/>
      </w:pPr>
      <w:r>
        <w:t xml:space="preserve">31.4. S4 – mainīgā tarifa maksa 4.grupa (no 1 327 788,1 </w:t>
      </w:r>
      <w:r>
        <w:t>kWh</w:t>
      </w:r>
      <w:r>
        <w:t xml:space="preserve"> līdz 13 277 880 </w:t>
      </w:r>
      <w:r>
        <w:t>kWh</w:t>
      </w:r>
      <w:r>
        <w:t xml:space="preserve">);   </w:t>
      </w:r>
    </w:p>
    <w:p w:rsidR="003E07BC" w:rsidP="00E46F89" w14:paraId="5467A3D6" w14:textId="77777777">
      <w:pPr>
        <w:ind w:firstLine="709"/>
        <w:jc w:val="both"/>
      </w:pPr>
      <w:r>
        <w:t xml:space="preserve">31.5. S5 – mainīgā tarifa maksa 5.grupa (no 13 277 880,1 </w:t>
      </w:r>
      <w:r>
        <w:t>kWh</w:t>
      </w:r>
      <w:r>
        <w:t xml:space="preserve"> līdz 132 778 800 </w:t>
      </w:r>
      <w:r>
        <w:t>kWh</w:t>
      </w:r>
      <w:r>
        <w:t xml:space="preserve">);  </w:t>
      </w:r>
    </w:p>
    <w:p w:rsidR="003E07BC" w:rsidP="00E46F89" w14:paraId="27052CA0" w14:textId="77777777">
      <w:pPr>
        <w:ind w:firstLine="709"/>
        <w:jc w:val="both"/>
      </w:pPr>
      <w:r>
        <w:t xml:space="preserve">31.6. S6 – mainīgā tarifa maksa 6.grupa (no 132 778 800,1 </w:t>
      </w:r>
      <w:r>
        <w:t>kWh</w:t>
      </w:r>
      <w:r>
        <w:t xml:space="preserve"> līdz 1 353 800 000  </w:t>
      </w:r>
      <w:r>
        <w:t>kWh</w:t>
      </w:r>
      <w:r>
        <w:t xml:space="preserve">); </w:t>
      </w:r>
    </w:p>
    <w:p w:rsidR="003E07BC" w:rsidP="00E46F89" w14:paraId="0C8DAE79" w14:textId="77777777">
      <w:pPr>
        <w:ind w:firstLine="709"/>
        <w:jc w:val="both"/>
      </w:pPr>
      <w:r>
        <w:t xml:space="preserve">31.7. S7 – mainīgā tarifa maksa 7.grupa (virs 1 353 800 000 </w:t>
      </w:r>
      <w:r>
        <w:t>kWh</w:t>
      </w:r>
      <w:r>
        <w:t xml:space="preserve">). </w:t>
      </w:r>
    </w:p>
    <w:p w:rsidR="003E07BC" w:rsidP="00E46F89" w14:paraId="326B2236" w14:textId="77777777">
      <w:pPr>
        <w:ind w:firstLine="709"/>
        <w:jc w:val="both"/>
      </w:pPr>
    </w:p>
    <w:p w:rsidR="003E07BC" w:rsidP="00E46F89" w14:paraId="530C4BAE" w14:textId="77777777">
      <w:pPr>
        <w:ind w:firstLine="709"/>
        <w:jc w:val="both"/>
      </w:pPr>
      <w:r>
        <w:t xml:space="preserve">32. SF – fiksētā tarifa maksa - (EUR/gadā): </w:t>
      </w:r>
    </w:p>
    <w:p w:rsidR="003E07BC" w:rsidP="00E46F89" w14:paraId="19C038CA" w14:textId="77777777">
      <w:pPr>
        <w:ind w:firstLine="709"/>
        <w:jc w:val="both"/>
      </w:pPr>
      <w:r>
        <w:t xml:space="preserve">32.1. SF1 – fiksētā tarifa maksa – 6m3/h; </w:t>
      </w:r>
    </w:p>
    <w:p w:rsidR="003E07BC" w:rsidP="00E46F89" w14:paraId="7E4F6A68" w14:textId="77777777">
      <w:pPr>
        <w:ind w:firstLine="709"/>
        <w:jc w:val="both"/>
      </w:pPr>
      <w:r>
        <w:t>32.2. SF2 – fiksētā tarifa maksa – 10 m3/h;</w:t>
      </w:r>
    </w:p>
    <w:p w:rsidR="003E07BC" w:rsidP="00E46F89" w14:paraId="47B20D7E" w14:textId="77777777">
      <w:pPr>
        <w:ind w:firstLine="709"/>
        <w:jc w:val="both"/>
      </w:pPr>
      <w:r>
        <w:t>32.3. SF3 – fiksētā tarifa maksa – 16m3/h;</w:t>
      </w:r>
    </w:p>
    <w:p w:rsidR="003E07BC" w:rsidP="00E46F89" w14:paraId="14BC8267" w14:textId="77777777">
      <w:pPr>
        <w:ind w:firstLine="709"/>
        <w:jc w:val="both"/>
      </w:pPr>
      <w:r>
        <w:t>32.4. SF4 – fiksētā tarifa maksa – 25 m3/h;</w:t>
      </w:r>
    </w:p>
    <w:p w:rsidR="003E07BC" w:rsidP="00E46F89" w14:paraId="1EE364EA" w14:textId="77777777">
      <w:pPr>
        <w:ind w:firstLine="709"/>
        <w:jc w:val="both"/>
      </w:pPr>
      <w:r>
        <w:t>32.5. SF5 – fiksētā tarifa maksa – 40 m3/h;</w:t>
      </w:r>
    </w:p>
    <w:p w:rsidR="003E07BC" w:rsidP="00E46F89" w14:paraId="14A32107" w14:textId="77777777">
      <w:pPr>
        <w:ind w:firstLine="709"/>
        <w:jc w:val="both"/>
      </w:pPr>
      <w:r>
        <w:t>32.6. SF6 – fiksētā tarifa maksa – 65 m3/h.</w:t>
      </w:r>
    </w:p>
    <w:p w:rsidR="003E07BC" w:rsidP="00E46F89" w14:paraId="5136CFFA" w14:textId="77777777">
      <w:pPr>
        <w:ind w:firstLine="709"/>
        <w:jc w:val="both"/>
      </w:pPr>
    </w:p>
    <w:p w:rsidR="003E07BC" w:rsidP="00E46F89" w14:paraId="3ED579C5" w14:textId="77777777">
      <w:pPr>
        <w:ind w:firstLine="709"/>
        <w:jc w:val="both"/>
      </w:pPr>
      <w:r>
        <w:t>33. SF7 fiksētā tarifa maksa atkarībā no atļautās slodzes par vienu vienību (EUR/m3/h/gadā): SF7 – fiksētā tarifa maksa – &gt; 65m3/h.</w:t>
      </w:r>
    </w:p>
    <w:p w:rsidR="003E07BC" w:rsidP="00E46F89" w14:paraId="1EAD4D24" w14:textId="77777777">
      <w:pPr>
        <w:ind w:firstLine="709"/>
        <w:jc w:val="both"/>
      </w:pPr>
    </w:p>
    <w:p w:rsidR="003E07BC" w:rsidP="00E46F89" w14:paraId="797517FF" w14:textId="77777777">
      <w:pPr>
        <w:ind w:firstLine="709"/>
        <w:jc w:val="both"/>
      </w:pPr>
      <w:r>
        <w:t xml:space="preserve">34. </w:t>
      </w:r>
      <w:r>
        <w:t>Sez</w:t>
      </w:r>
      <w:r>
        <w:t xml:space="preserve"> + sezonālā mainīgā tarifa maksa (EUR/ 1000 </w:t>
      </w:r>
      <w:r>
        <w:t>kWh</w:t>
      </w:r>
      <w:r>
        <w:t>):</w:t>
      </w:r>
    </w:p>
    <w:p w:rsidR="003E07BC" w:rsidP="00E46F89" w14:paraId="1C267B23" w14:textId="77777777">
      <w:pPr>
        <w:ind w:firstLine="709"/>
        <w:jc w:val="both"/>
      </w:pPr>
      <w:r>
        <w:t>34.1. Sez2+ – sezonālā mainīgā tarifa maksa S2 grupai;</w:t>
      </w:r>
    </w:p>
    <w:p w:rsidR="003E07BC" w:rsidP="00E46F89" w14:paraId="0B4EBDF7" w14:textId="77777777">
      <w:pPr>
        <w:ind w:firstLine="709"/>
        <w:jc w:val="both"/>
      </w:pPr>
      <w:r>
        <w:t>34.2. Sez3+ – sezonālā mainīgā tarifa maksa S3 grupai;</w:t>
      </w:r>
    </w:p>
    <w:p w:rsidR="003E07BC" w:rsidP="00E46F89" w14:paraId="66DA74CF" w14:textId="77777777">
      <w:pPr>
        <w:ind w:firstLine="709"/>
        <w:jc w:val="both"/>
      </w:pPr>
      <w:r>
        <w:t>34.3. Sez4+ – sezonālā mainīgā tarifa maksa S4 grupai.</w:t>
      </w:r>
    </w:p>
    <w:p w:rsidR="003E07BC" w:rsidP="003E07BC" w14:paraId="65C01F5C" w14:textId="77777777">
      <w:pPr>
        <w:jc w:val="both"/>
      </w:pPr>
    </w:p>
    <w:p w:rsidR="003E07BC" w:rsidRPr="00E46F89" w:rsidP="00E46F89" w14:paraId="167FF76C" w14:textId="77777777">
      <w:pPr>
        <w:jc w:val="center"/>
        <w:rPr>
          <w:b/>
        </w:rPr>
      </w:pPr>
      <w:r w:rsidRPr="00E46F89">
        <w:rPr>
          <w:b/>
        </w:rPr>
        <w:t>VII. Noslēguma jautājumi</w:t>
      </w:r>
    </w:p>
    <w:p w:rsidR="003E07BC" w:rsidP="003E07BC" w14:paraId="4643AC65" w14:textId="77777777">
      <w:pPr>
        <w:jc w:val="both"/>
      </w:pPr>
    </w:p>
    <w:p w:rsidR="003E07BC" w:rsidP="00E46F89" w14:paraId="2D398771" w14:textId="25DB8C87">
      <w:pPr>
        <w:ind w:firstLine="709"/>
        <w:jc w:val="both"/>
      </w:pPr>
      <w:r>
        <w:t>35. Atzīt par spēku zaudējušu 2023.</w:t>
      </w:r>
      <w:r w:rsidR="00E46F89">
        <w:t xml:space="preserve"> </w:t>
      </w:r>
      <w:r>
        <w:t>gada 20.</w:t>
      </w:r>
      <w:r w:rsidR="00E46F89">
        <w:t xml:space="preserve"> </w:t>
      </w:r>
      <w:r>
        <w:t>aprīļa kārtību Nr.20/4-2 “Sadales sistēmas pakalpojumu tarifu pielietošanas kārtība”.</w:t>
      </w:r>
    </w:p>
    <w:p w:rsidR="003E07BC" w:rsidP="00E46F89" w14:paraId="130DD158" w14:textId="77777777">
      <w:pPr>
        <w:ind w:firstLine="709"/>
        <w:jc w:val="both"/>
      </w:pPr>
    </w:p>
    <w:p w:rsidR="00322EE1" w:rsidP="00E46F89" w14:paraId="6A77F2C3" w14:textId="1DA69C4D">
      <w:pPr>
        <w:ind w:firstLine="709"/>
        <w:jc w:val="both"/>
      </w:pPr>
      <w:r>
        <w:t>36. Kārtība stājas spēkā 2024.</w:t>
      </w:r>
      <w:r w:rsidR="00E46F89">
        <w:t xml:space="preserve"> </w:t>
      </w:r>
      <w:r>
        <w:t>gada 1.</w:t>
      </w:r>
      <w:r w:rsidR="00E46F89">
        <w:t xml:space="preserve"> </w:t>
      </w:r>
      <w:r>
        <w:t>janvārī.</w:t>
      </w:r>
    </w:p>
    <w:p w:rsidR="00322EE1" w:rsidP="00E46F89" w14:paraId="6A77F2C4" w14:textId="77777777">
      <w:pPr>
        <w:ind w:firstLine="709"/>
        <w:jc w:val="both"/>
      </w:pPr>
    </w:p>
    <w:p w:rsidR="006E0EFC" w:rsidP="003E07BC" w14:paraId="6A77F2C5" w14:textId="1F1C4F62">
      <w:pPr>
        <w:jc w:val="both"/>
      </w:pPr>
    </w:p>
    <w:p w:rsidR="00592CCE" w:rsidP="003E07BC" w14:paraId="4985E56B" w14:textId="77777777">
      <w:pPr>
        <w:jc w:val="both"/>
      </w:pPr>
      <w:bookmarkStart w:id="0" w:name="_GoBack"/>
      <w:bookmarkEnd w:id="0"/>
    </w:p>
    <w:tbl>
      <w:tblPr>
        <w:tblW w:w="9639" w:type="dxa"/>
        <w:tblLook w:val="04A0"/>
      </w:tblPr>
      <w:tblGrid>
        <w:gridCol w:w="6062"/>
        <w:gridCol w:w="3577"/>
      </w:tblGrid>
      <w:tr w14:paraId="6A77F2D4" w14:textId="77777777" w:rsidTr="00980204">
        <w:tblPrEx>
          <w:tblW w:w="9639" w:type="dxa"/>
          <w:tblLook w:val="04A0"/>
        </w:tblPrEx>
        <w:tc>
          <w:tcPr>
            <w:tcW w:w="6062" w:type="dxa"/>
            <w:shd w:val="clear" w:color="auto" w:fill="auto"/>
          </w:tcPr>
          <w:p w:rsidR="00322EE1" w:rsidP="00777C8D" w14:paraId="6A77F2D2" w14:textId="56A5C360">
            <w:pPr>
              <w:pStyle w:val="Heading2"/>
              <w:ind w:left="-105"/>
              <w:jc w:val="left"/>
            </w:pPr>
            <w:r>
              <w:rPr>
                <w:noProof/>
              </w:rPr>
              <w:t>Valdes priekšsēdētāj</w:t>
            </w:r>
            <w:r w:rsidR="00AF55EC">
              <w:rPr>
                <w:noProof/>
              </w:rPr>
              <w:t>a</w:t>
            </w:r>
            <w:r>
              <w:t xml:space="preserve">              </w:t>
            </w:r>
          </w:p>
        </w:tc>
        <w:tc>
          <w:tcPr>
            <w:tcW w:w="3577" w:type="dxa"/>
            <w:shd w:val="clear" w:color="auto" w:fill="auto"/>
          </w:tcPr>
          <w:p w:rsidR="00322EE1" w:rsidRPr="00512FC5" w:rsidP="00DA0275" w14:paraId="6A77F2D3" w14:textId="77777777">
            <w:pPr>
              <w:ind w:right="-108"/>
              <w:jc w:val="right"/>
            </w:pPr>
            <w:r w:rsidRPr="00512FC5">
              <w:rPr>
                <w:noProof/>
              </w:rPr>
              <w:t>Ilze Pētersone-Godmane</w:t>
            </w:r>
          </w:p>
        </w:tc>
      </w:tr>
    </w:tbl>
    <w:p w:rsidR="00322EE1" w:rsidP="004D39BE" w14:paraId="6A77F2D5" w14:textId="4E0DA430">
      <w:pPr>
        <w:spacing w:before="360" w:after="360"/>
        <w:jc w:val="center"/>
        <w:rPr>
          <w:sz w:val="20"/>
          <w:szCs w:val="20"/>
        </w:rPr>
      </w:pPr>
      <w:r w:rsidRPr="00EF6037">
        <w:rPr>
          <w:sz w:val="20"/>
          <w:szCs w:val="20"/>
        </w:rPr>
        <w:t>DOKUMENTS PARAKSTĪTS AR DROŠU ELEKTRONISKO PARAKSTU UN SATUR LAIKA ZĪMOGU</w:t>
      </w:r>
    </w:p>
    <w:p w:rsidR="00AF55EC" w:rsidP="004D39BE" w14:paraId="7C609515" w14:textId="20444A0E">
      <w:pPr>
        <w:spacing w:before="360" w:after="360"/>
        <w:jc w:val="center"/>
        <w:rPr>
          <w:sz w:val="20"/>
          <w:szCs w:val="20"/>
        </w:rPr>
      </w:pPr>
    </w:p>
    <w:p w:rsidR="00AF55EC" w:rsidP="004D39BE" w14:paraId="76D9C5A3" w14:textId="1B7FF428">
      <w:pPr>
        <w:spacing w:before="360" w:after="360"/>
        <w:jc w:val="center"/>
        <w:rPr>
          <w:sz w:val="20"/>
          <w:szCs w:val="20"/>
        </w:rPr>
      </w:pPr>
    </w:p>
    <w:p w:rsidR="00AF55EC" w:rsidRPr="003160BB" w:rsidP="00AF55EC" w14:paraId="56FF933D" w14:textId="77777777">
      <w:pPr>
        <w:jc w:val="right"/>
        <w:rPr>
          <w:i/>
        </w:rPr>
      </w:pPr>
      <w:r w:rsidRPr="003160BB">
        <w:rPr>
          <w:i/>
        </w:rPr>
        <w:t xml:space="preserve">Pielikums </w:t>
      </w:r>
    </w:p>
    <w:p w:rsidR="00AF55EC" w:rsidRPr="003160BB" w:rsidP="00AF55EC" w14:paraId="25C075DC" w14:textId="77777777">
      <w:pPr>
        <w:jc w:val="right"/>
        <w:rPr>
          <w:i/>
        </w:rPr>
      </w:pPr>
      <w:r w:rsidRPr="003160BB">
        <w:rPr>
          <w:i/>
        </w:rPr>
        <w:t>Sadales sistēmas pakalpojumu</w:t>
      </w:r>
    </w:p>
    <w:p w:rsidR="00AF55EC" w:rsidRPr="003160BB" w:rsidP="00AF55EC" w14:paraId="63764592" w14:textId="77777777">
      <w:pPr>
        <w:jc w:val="right"/>
        <w:rPr>
          <w:i/>
        </w:rPr>
      </w:pPr>
      <w:r w:rsidRPr="003160BB">
        <w:rPr>
          <w:i/>
        </w:rPr>
        <w:t>tarifu pielietošanas kārtībai</w:t>
      </w:r>
    </w:p>
    <w:p w:rsidR="00AF55EC" w:rsidRPr="004439BB" w:rsidP="00AF55EC" w14:paraId="4B57EB46" w14:textId="77777777">
      <w:pPr>
        <w:jc w:val="right"/>
      </w:pPr>
    </w:p>
    <w:p w:rsidR="00AF55EC" w:rsidP="00AF55EC" w14:paraId="06E9B23A" w14:textId="77777777">
      <w:pPr>
        <w:keepNext/>
        <w:tabs>
          <w:tab w:val="left" w:pos="426"/>
        </w:tabs>
        <w:snapToGrid w:val="0"/>
        <w:jc w:val="center"/>
        <w:rPr>
          <w:b/>
        </w:rPr>
      </w:pPr>
      <w:r w:rsidRPr="004439BB">
        <w:rPr>
          <w:b/>
        </w:rPr>
        <w:t>Iesniegums par pieteiktās slodzes pielietošanu</w:t>
      </w:r>
    </w:p>
    <w:p w:rsidR="00AF55EC" w:rsidRPr="004439BB" w:rsidP="00AF55EC" w14:paraId="4E670DB9" w14:textId="77777777">
      <w:pPr>
        <w:keepNext/>
        <w:tabs>
          <w:tab w:val="left" w:pos="426"/>
        </w:tabs>
        <w:snapToGrid w:val="0"/>
        <w:jc w:val="center"/>
        <w:rPr>
          <w:b/>
        </w:rPr>
      </w:pPr>
    </w:p>
    <w:tbl>
      <w:tblPr>
        <w:tblW w:w="918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tblPr>
      <w:tblGrid>
        <w:gridCol w:w="3402"/>
        <w:gridCol w:w="426"/>
        <w:gridCol w:w="5352"/>
      </w:tblGrid>
      <w:tr w14:paraId="53E9C7FF" w14:textId="77777777" w:rsidTr="00500FC7">
        <w:tblPrEx>
          <w:tblW w:w="918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tblPrEx>
        <w:tc>
          <w:tcPr>
            <w:tcW w:w="9180" w:type="dxa"/>
            <w:gridSpan w:val="3"/>
            <w:tcBorders>
              <w:top w:val="double" w:sz="4" w:space="0" w:color="auto"/>
              <w:left w:val="nil"/>
              <w:bottom w:val="double" w:sz="4" w:space="0" w:color="auto"/>
              <w:right w:val="nil"/>
            </w:tcBorders>
            <w:hideMark/>
          </w:tcPr>
          <w:p w:rsidR="00AF55EC" w:rsidRPr="004A04FD" w:rsidP="00500FC7" w14:paraId="628643F4" w14:textId="77777777">
            <w:pPr>
              <w:tabs>
                <w:tab w:val="center" w:pos="4395"/>
                <w:tab w:val="center" w:pos="8505"/>
              </w:tabs>
              <w:jc w:val="center"/>
              <w:rPr>
                <w:lang w:eastAsia="zh-CN"/>
              </w:rPr>
            </w:pPr>
            <w:r w:rsidRPr="004A04FD">
              <w:rPr>
                <w:lang w:eastAsia="zh-CN"/>
              </w:rPr>
              <w:t>Informācija par Lietotāju:</w:t>
            </w:r>
          </w:p>
        </w:tc>
      </w:tr>
      <w:tr w14:paraId="74365CA4" w14:textId="77777777" w:rsidTr="00500FC7">
        <w:tblPrEx>
          <w:tblW w:w="9180" w:type="dxa"/>
          <w:tblLayout w:type="fixed"/>
          <w:tblLook w:val="04A0"/>
        </w:tblPrEx>
        <w:trPr>
          <w:trHeight w:val="252"/>
        </w:trPr>
        <w:tc>
          <w:tcPr>
            <w:tcW w:w="3828" w:type="dxa"/>
            <w:gridSpan w:val="2"/>
            <w:tcBorders>
              <w:top w:val="dotted" w:sz="4" w:space="0" w:color="auto"/>
              <w:left w:val="nil"/>
              <w:bottom w:val="dotted" w:sz="4" w:space="0" w:color="auto"/>
              <w:right w:val="single" w:sz="4" w:space="0" w:color="auto"/>
            </w:tcBorders>
            <w:hideMark/>
          </w:tcPr>
          <w:p w:rsidR="00AF55EC" w:rsidRPr="004A04FD" w:rsidP="00500FC7" w14:paraId="4AAA721B" w14:textId="77777777">
            <w:pPr>
              <w:tabs>
                <w:tab w:val="center" w:pos="4395"/>
                <w:tab w:val="center" w:pos="8505"/>
              </w:tabs>
              <w:jc w:val="right"/>
              <w:rPr>
                <w:lang w:eastAsia="zh-CN"/>
              </w:rPr>
            </w:pPr>
            <w:r>
              <w:rPr>
                <w:lang w:eastAsia="zh-CN"/>
              </w:rPr>
              <w:t>Firma</w:t>
            </w:r>
            <w:r w:rsidRPr="004A04FD">
              <w:rPr>
                <w:lang w:eastAsia="zh-CN"/>
              </w:rPr>
              <w:t>/Vārds Uzvārds:</w:t>
            </w:r>
          </w:p>
        </w:tc>
        <w:tc>
          <w:tcPr>
            <w:tcW w:w="5352" w:type="dxa"/>
            <w:tcBorders>
              <w:top w:val="dotted" w:sz="4" w:space="0" w:color="auto"/>
              <w:left w:val="single" w:sz="4" w:space="0" w:color="auto"/>
              <w:bottom w:val="dotted" w:sz="6" w:space="0" w:color="auto"/>
              <w:right w:val="nil"/>
            </w:tcBorders>
          </w:tcPr>
          <w:p w:rsidR="00AF55EC" w:rsidRPr="004A04FD" w:rsidP="00500FC7" w14:paraId="07E841F1" w14:textId="77777777">
            <w:pPr>
              <w:tabs>
                <w:tab w:val="center" w:pos="4395"/>
                <w:tab w:val="center" w:pos="8505"/>
              </w:tabs>
              <w:rPr>
                <w:lang w:eastAsia="zh-CN"/>
              </w:rPr>
            </w:pPr>
          </w:p>
        </w:tc>
      </w:tr>
      <w:tr w14:paraId="27D4EA70" w14:textId="77777777" w:rsidTr="00500FC7">
        <w:tblPrEx>
          <w:tblW w:w="9180" w:type="dxa"/>
          <w:tblLayout w:type="fixed"/>
          <w:tblLook w:val="04A0"/>
        </w:tblPrEx>
        <w:trPr>
          <w:trHeight w:val="243"/>
        </w:trPr>
        <w:tc>
          <w:tcPr>
            <w:tcW w:w="3828" w:type="dxa"/>
            <w:gridSpan w:val="2"/>
            <w:tcBorders>
              <w:top w:val="dotted" w:sz="4" w:space="0" w:color="auto"/>
              <w:left w:val="nil"/>
              <w:bottom w:val="dotted" w:sz="4" w:space="0" w:color="auto"/>
              <w:right w:val="single" w:sz="4" w:space="0" w:color="auto"/>
            </w:tcBorders>
            <w:hideMark/>
          </w:tcPr>
          <w:p w:rsidR="00AF55EC" w:rsidRPr="004A04FD" w:rsidP="00500FC7" w14:paraId="648CF237" w14:textId="77777777">
            <w:pPr>
              <w:tabs>
                <w:tab w:val="left" w:pos="6946"/>
                <w:tab w:val="left" w:pos="9923"/>
              </w:tabs>
              <w:jc w:val="right"/>
              <w:rPr>
                <w:lang w:eastAsia="zh-CN"/>
              </w:rPr>
            </w:pPr>
            <w:r w:rsidRPr="004A04FD">
              <w:rPr>
                <w:lang w:eastAsia="zh-CN"/>
              </w:rPr>
              <w:t>Reģistrācijas numurs/Personas kods:</w:t>
            </w:r>
          </w:p>
        </w:tc>
        <w:tc>
          <w:tcPr>
            <w:tcW w:w="5352" w:type="dxa"/>
            <w:tcBorders>
              <w:top w:val="dotted" w:sz="4" w:space="0" w:color="auto"/>
              <w:left w:val="single" w:sz="4" w:space="0" w:color="auto"/>
              <w:bottom w:val="dotted" w:sz="6" w:space="0" w:color="auto"/>
              <w:right w:val="nil"/>
            </w:tcBorders>
          </w:tcPr>
          <w:p w:rsidR="00AF55EC" w:rsidRPr="004A04FD" w:rsidP="00500FC7" w14:paraId="0E3524E4" w14:textId="77777777">
            <w:pPr>
              <w:tabs>
                <w:tab w:val="center" w:pos="4395"/>
                <w:tab w:val="center" w:pos="8505"/>
              </w:tabs>
              <w:rPr>
                <w:lang w:eastAsia="zh-CN"/>
              </w:rPr>
            </w:pPr>
          </w:p>
        </w:tc>
      </w:tr>
      <w:tr w14:paraId="7EA001D4" w14:textId="77777777" w:rsidTr="00500FC7">
        <w:tblPrEx>
          <w:tblW w:w="9180" w:type="dxa"/>
          <w:tblLayout w:type="fixed"/>
          <w:tblLook w:val="04A0"/>
        </w:tblPrEx>
        <w:trPr>
          <w:trHeight w:val="232"/>
        </w:trPr>
        <w:tc>
          <w:tcPr>
            <w:tcW w:w="3828" w:type="dxa"/>
            <w:gridSpan w:val="2"/>
            <w:tcBorders>
              <w:top w:val="dotted" w:sz="4" w:space="0" w:color="auto"/>
              <w:left w:val="nil"/>
              <w:bottom w:val="dotted" w:sz="4" w:space="0" w:color="auto"/>
              <w:right w:val="single" w:sz="4" w:space="0" w:color="auto"/>
            </w:tcBorders>
            <w:hideMark/>
          </w:tcPr>
          <w:p w:rsidR="00AF55EC" w:rsidRPr="004A04FD" w:rsidP="00500FC7" w14:paraId="2E329997" w14:textId="77777777">
            <w:pPr>
              <w:tabs>
                <w:tab w:val="left" w:pos="6946"/>
                <w:tab w:val="left" w:pos="9923"/>
              </w:tabs>
              <w:jc w:val="right"/>
              <w:rPr>
                <w:lang w:eastAsia="zh-CN"/>
              </w:rPr>
            </w:pPr>
            <w:r w:rsidRPr="004A04FD">
              <w:rPr>
                <w:lang w:eastAsia="zh-CN"/>
              </w:rPr>
              <w:t>PVN maksātāja numurs</w:t>
            </w:r>
            <w:r>
              <w:rPr>
                <w:lang w:eastAsia="zh-CN"/>
              </w:rPr>
              <w:t xml:space="preserve"> (tikai </w:t>
            </w:r>
            <w:r>
              <w:rPr>
                <w:lang w:eastAsia="zh-CN"/>
              </w:rPr>
              <w:t>komerclietotājiem</w:t>
            </w:r>
            <w:r>
              <w:rPr>
                <w:lang w:eastAsia="zh-CN"/>
              </w:rPr>
              <w:t>)</w:t>
            </w:r>
            <w:r w:rsidRPr="004A04FD">
              <w:rPr>
                <w:lang w:eastAsia="zh-CN"/>
              </w:rPr>
              <w:t>:</w:t>
            </w:r>
          </w:p>
        </w:tc>
        <w:tc>
          <w:tcPr>
            <w:tcW w:w="5352" w:type="dxa"/>
            <w:tcBorders>
              <w:top w:val="dotted" w:sz="4" w:space="0" w:color="auto"/>
              <w:left w:val="single" w:sz="4" w:space="0" w:color="auto"/>
              <w:bottom w:val="dotted" w:sz="6" w:space="0" w:color="auto"/>
              <w:right w:val="nil"/>
            </w:tcBorders>
          </w:tcPr>
          <w:p w:rsidR="00AF55EC" w:rsidRPr="004A04FD" w:rsidP="00500FC7" w14:paraId="663AF398" w14:textId="77777777">
            <w:pPr>
              <w:tabs>
                <w:tab w:val="center" w:pos="4395"/>
                <w:tab w:val="center" w:pos="8505"/>
              </w:tabs>
              <w:rPr>
                <w:lang w:eastAsia="zh-CN"/>
              </w:rPr>
            </w:pPr>
          </w:p>
        </w:tc>
      </w:tr>
      <w:tr w14:paraId="23870163" w14:textId="77777777" w:rsidTr="00500FC7">
        <w:tblPrEx>
          <w:tblW w:w="9180" w:type="dxa"/>
          <w:tblLayout w:type="fixed"/>
          <w:tblLook w:val="04A0"/>
        </w:tblPrEx>
        <w:trPr>
          <w:trHeight w:val="232"/>
        </w:trPr>
        <w:tc>
          <w:tcPr>
            <w:tcW w:w="3828" w:type="dxa"/>
            <w:gridSpan w:val="2"/>
            <w:tcBorders>
              <w:top w:val="dotted" w:sz="4" w:space="0" w:color="auto"/>
              <w:left w:val="nil"/>
              <w:bottom w:val="dotted" w:sz="4" w:space="0" w:color="auto"/>
              <w:right w:val="single" w:sz="4" w:space="0" w:color="auto"/>
            </w:tcBorders>
            <w:hideMark/>
          </w:tcPr>
          <w:p w:rsidR="00AF55EC" w:rsidRPr="004A04FD" w:rsidP="00500FC7" w14:paraId="5B732CA2" w14:textId="77777777">
            <w:pPr>
              <w:tabs>
                <w:tab w:val="left" w:pos="6946"/>
                <w:tab w:val="left" w:pos="9923"/>
              </w:tabs>
              <w:jc w:val="right"/>
              <w:rPr>
                <w:lang w:eastAsia="zh-CN"/>
              </w:rPr>
            </w:pPr>
            <w:r w:rsidRPr="004A04FD">
              <w:rPr>
                <w:lang w:eastAsia="zh-CN"/>
              </w:rPr>
              <w:t>Tālrunis saziņai:</w:t>
            </w:r>
          </w:p>
        </w:tc>
        <w:tc>
          <w:tcPr>
            <w:tcW w:w="5352" w:type="dxa"/>
            <w:tcBorders>
              <w:top w:val="dotted" w:sz="4" w:space="0" w:color="auto"/>
              <w:left w:val="single" w:sz="4" w:space="0" w:color="auto"/>
              <w:bottom w:val="dotted" w:sz="6" w:space="0" w:color="auto"/>
              <w:right w:val="nil"/>
            </w:tcBorders>
          </w:tcPr>
          <w:p w:rsidR="00AF55EC" w:rsidRPr="004A04FD" w:rsidP="00500FC7" w14:paraId="6C841E30" w14:textId="77777777">
            <w:pPr>
              <w:tabs>
                <w:tab w:val="center" w:pos="4395"/>
                <w:tab w:val="center" w:pos="8505"/>
              </w:tabs>
              <w:rPr>
                <w:lang w:eastAsia="zh-CN"/>
              </w:rPr>
            </w:pPr>
          </w:p>
        </w:tc>
      </w:tr>
      <w:tr w14:paraId="4778995D" w14:textId="77777777" w:rsidTr="00500FC7">
        <w:tblPrEx>
          <w:tblW w:w="9180" w:type="dxa"/>
          <w:tblLayout w:type="fixed"/>
          <w:tblLook w:val="04A0"/>
        </w:tblPrEx>
        <w:trPr>
          <w:trHeight w:val="223"/>
        </w:trPr>
        <w:tc>
          <w:tcPr>
            <w:tcW w:w="3828" w:type="dxa"/>
            <w:gridSpan w:val="2"/>
            <w:tcBorders>
              <w:top w:val="dotted" w:sz="4" w:space="0" w:color="auto"/>
              <w:left w:val="nil"/>
              <w:bottom w:val="double" w:sz="4" w:space="0" w:color="auto"/>
              <w:right w:val="single" w:sz="4" w:space="0" w:color="auto"/>
            </w:tcBorders>
            <w:hideMark/>
          </w:tcPr>
          <w:p w:rsidR="00AF55EC" w:rsidRPr="004A04FD" w:rsidP="00500FC7" w14:paraId="0D4D06D0" w14:textId="77777777">
            <w:pPr>
              <w:tabs>
                <w:tab w:val="left" w:pos="6946"/>
                <w:tab w:val="left" w:pos="9923"/>
              </w:tabs>
              <w:jc w:val="right"/>
              <w:rPr>
                <w:lang w:eastAsia="zh-CN"/>
              </w:rPr>
            </w:pPr>
            <w:r w:rsidRPr="004A04FD">
              <w:rPr>
                <w:lang w:eastAsia="zh-CN"/>
              </w:rPr>
              <w:t>Pilnvarotā persona</w:t>
            </w:r>
            <w:r>
              <w:rPr>
                <w:lang w:eastAsia="zh-CN"/>
              </w:rPr>
              <w:t xml:space="preserve"> (ja tāda ir nozīmēta)</w:t>
            </w:r>
            <w:r w:rsidRPr="004A04FD">
              <w:rPr>
                <w:lang w:eastAsia="zh-CN"/>
              </w:rPr>
              <w:t>:</w:t>
            </w:r>
          </w:p>
        </w:tc>
        <w:tc>
          <w:tcPr>
            <w:tcW w:w="5352" w:type="dxa"/>
            <w:tcBorders>
              <w:top w:val="dotted" w:sz="4" w:space="0" w:color="auto"/>
              <w:left w:val="single" w:sz="4" w:space="0" w:color="auto"/>
              <w:bottom w:val="double" w:sz="4" w:space="0" w:color="auto"/>
              <w:right w:val="nil"/>
            </w:tcBorders>
          </w:tcPr>
          <w:p w:rsidR="00AF55EC" w:rsidRPr="004A04FD" w:rsidP="00500FC7" w14:paraId="5F0B16DA" w14:textId="77777777">
            <w:pPr>
              <w:tabs>
                <w:tab w:val="center" w:pos="4395"/>
                <w:tab w:val="center" w:pos="8505"/>
              </w:tabs>
              <w:rPr>
                <w:lang w:eastAsia="zh-CN"/>
              </w:rPr>
            </w:pPr>
          </w:p>
        </w:tc>
      </w:tr>
      <w:tr w14:paraId="3ADF575C" w14:textId="77777777" w:rsidTr="00500FC7">
        <w:tblPrEx>
          <w:tblW w:w="9180" w:type="dxa"/>
          <w:tblLayout w:type="fixed"/>
          <w:tblLook w:val="04A0"/>
        </w:tblPrEx>
        <w:trPr>
          <w:trHeight w:val="223"/>
        </w:trPr>
        <w:tc>
          <w:tcPr>
            <w:tcW w:w="9180" w:type="dxa"/>
            <w:gridSpan w:val="3"/>
            <w:tcBorders>
              <w:top w:val="double" w:sz="4" w:space="0" w:color="auto"/>
              <w:left w:val="nil"/>
              <w:bottom w:val="double" w:sz="4" w:space="0" w:color="auto"/>
              <w:right w:val="nil"/>
            </w:tcBorders>
            <w:hideMark/>
          </w:tcPr>
          <w:p w:rsidR="00AF55EC" w:rsidRPr="004A04FD" w:rsidP="00500FC7" w14:paraId="78A05B66" w14:textId="77777777">
            <w:pPr>
              <w:tabs>
                <w:tab w:val="center" w:pos="4395"/>
                <w:tab w:val="center" w:pos="8505"/>
              </w:tabs>
              <w:jc w:val="center"/>
              <w:rPr>
                <w:lang w:eastAsia="zh-CN"/>
              </w:rPr>
            </w:pPr>
            <w:r w:rsidRPr="004A04FD">
              <w:rPr>
                <w:lang w:eastAsia="zh-CN"/>
              </w:rPr>
              <w:t>Informācija par gazificēto objektu:</w:t>
            </w:r>
          </w:p>
        </w:tc>
      </w:tr>
      <w:tr w14:paraId="16962C59" w14:textId="77777777" w:rsidTr="00500FC7">
        <w:tblPrEx>
          <w:tblW w:w="9180" w:type="dxa"/>
          <w:tblLayout w:type="fixed"/>
          <w:tblLook w:val="04A0"/>
        </w:tblPrEx>
        <w:trPr>
          <w:trHeight w:val="223"/>
        </w:trPr>
        <w:tc>
          <w:tcPr>
            <w:tcW w:w="3402" w:type="dxa"/>
            <w:tcBorders>
              <w:top w:val="dotted" w:sz="4" w:space="0" w:color="auto"/>
              <w:left w:val="nil"/>
              <w:bottom w:val="dotted" w:sz="4" w:space="0" w:color="auto"/>
              <w:right w:val="single" w:sz="4" w:space="0" w:color="auto"/>
            </w:tcBorders>
            <w:hideMark/>
          </w:tcPr>
          <w:p w:rsidR="00AF55EC" w:rsidRPr="004A04FD" w:rsidP="00500FC7" w14:paraId="25272F47" w14:textId="77777777">
            <w:pPr>
              <w:tabs>
                <w:tab w:val="left" w:pos="6577"/>
                <w:tab w:val="left" w:pos="9923"/>
              </w:tabs>
              <w:jc w:val="right"/>
              <w:rPr>
                <w:lang w:eastAsia="zh-CN"/>
              </w:rPr>
            </w:pPr>
            <w:r w:rsidRPr="004A04FD">
              <w:rPr>
                <w:lang w:eastAsia="zh-CN"/>
              </w:rPr>
              <w:t>Objekta tirgus numurs:</w:t>
            </w:r>
          </w:p>
        </w:tc>
        <w:tc>
          <w:tcPr>
            <w:tcW w:w="5778" w:type="dxa"/>
            <w:gridSpan w:val="2"/>
            <w:tcBorders>
              <w:top w:val="dotted" w:sz="4" w:space="0" w:color="auto"/>
              <w:left w:val="single" w:sz="4" w:space="0" w:color="auto"/>
              <w:bottom w:val="dotted" w:sz="4" w:space="0" w:color="auto"/>
              <w:right w:val="nil"/>
            </w:tcBorders>
          </w:tcPr>
          <w:p w:rsidR="00AF55EC" w:rsidRPr="004A04FD" w:rsidP="00500FC7" w14:paraId="6B4D7BE0" w14:textId="77777777">
            <w:pPr>
              <w:tabs>
                <w:tab w:val="center" w:pos="4395"/>
                <w:tab w:val="center" w:pos="8505"/>
              </w:tabs>
              <w:rPr>
                <w:lang w:eastAsia="zh-CN"/>
              </w:rPr>
            </w:pPr>
          </w:p>
        </w:tc>
      </w:tr>
      <w:tr w14:paraId="4755F1A2" w14:textId="77777777" w:rsidTr="00500FC7">
        <w:tblPrEx>
          <w:tblW w:w="9180" w:type="dxa"/>
          <w:tblLayout w:type="fixed"/>
          <w:tblLook w:val="04A0"/>
        </w:tblPrEx>
        <w:trPr>
          <w:trHeight w:val="223"/>
        </w:trPr>
        <w:tc>
          <w:tcPr>
            <w:tcW w:w="3402" w:type="dxa"/>
            <w:tcBorders>
              <w:top w:val="dotted" w:sz="4" w:space="0" w:color="auto"/>
              <w:left w:val="nil"/>
              <w:bottom w:val="dotted" w:sz="4" w:space="0" w:color="auto"/>
              <w:right w:val="single" w:sz="4" w:space="0" w:color="auto"/>
            </w:tcBorders>
            <w:hideMark/>
          </w:tcPr>
          <w:p w:rsidR="00AF55EC" w:rsidRPr="004A04FD" w:rsidP="00500FC7" w14:paraId="1A30226F" w14:textId="77777777">
            <w:pPr>
              <w:tabs>
                <w:tab w:val="left" w:pos="6577"/>
                <w:tab w:val="left" w:pos="9923"/>
              </w:tabs>
              <w:jc w:val="right"/>
              <w:rPr>
                <w:lang w:eastAsia="zh-CN"/>
              </w:rPr>
            </w:pPr>
            <w:r w:rsidRPr="004A04FD">
              <w:rPr>
                <w:lang w:eastAsia="zh-CN"/>
              </w:rPr>
              <w:t>Objekta adrese:</w:t>
            </w:r>
          </w:p>
        </w:tc>
        <w:tc>
          <w:tcPr>
            <w:tcW w:w="5778" w:type="dxa"/>
            <w:gridSpan w:val="2"/>
            <w:tcBorders>
              <w:top w:val="dotted" w:sz="4" w:space="0" w:color="auto"/>
              <w:left w:val="single" w:sz="4" w:space="0" w:color="auto"/>
              <w:bottom w:val="dotted" w:sz="4" w:space="0" w:color="auto"/>
              <w:right w:val="nil"/>
            </w:tcBorders>
          </w:tcPr>
          <w:p w:rsidR="00AF55EC" w:rsidRPr="004A04FD" w:rsidP="00500FC7" w14:paraId="43A5B678" w14:textId="77777777">
            <w:pPr>
              <w:tabs>
                <w:tab w:val="center" w:pos="4395"/>
                <w:tab w:val="center" w:pos="8505"/>
              </w:tabs>
              <w:rPr>
                <w:lang w:eastAsia="zh-CN"/>
              </w:rPr>
            </w:pPr>
          </w:p>
        </w:tc>
      </w:tr>
      <w:tr w14:paraId="6A5F2FE6" w14:textId="77777777" w:rsidTr="00500FC7">
        <w:tblPrEx>
          <w:tblW w:w="9180" w:type="dxa"/>
          <w:tblLayout w:type="fixed"/>
          <w:tblLook w:val="04A0"/>
        </w:tblPrEx>
        <w:trPr>
          <w:trHeight w:val="223"/>
        </w:trPr>
        <w:tc>
          <w:tcPr>
            <w:tcW w:w="3402" w:type="dxa"/>
            <w:tcBorders>
              <w:top w:val="dotted" w:sz="4" w:space="0" w:color="auto"/>
              <w:left w:val="nil"/>
              <w:bottom w:val="dotted" w:sz="4" w:space="0" w:color="auto"/>
              <w:right w:val="single" w:sz="4" w:space="0" w:color="auto"/>
            </w:tcBorders>
            <w:hideMark/>
          </w:tcPr>
          <w:p w:rsidR="00AF55EC" w:rsidRPr="004A04FD" w:rsidP="00500FC7" w14:paraId="4723BE1A" w14:textId="77777777">
            <w:pPr>
              <w:tabs>
                <w:tab w:val="left" w:pos="6577"/>
                <w:tab w:val="left" w:pos="9923"/>
              </w:tabs>
              <w:jc w:val="right"/>
              <w:rPr>
                <w:lang w:eastAsia="zh-CN"/>
              </w:rPr>
            </w:pPr>
            <w:r w:rsidRPr="004A04FD">
              <w:rPr>
                <w:lang w:eastAsia="zh-CN"/>
              </w:rPr>
              <w:t>Atļautā maksimālā slodze, m</w:t>
            </w:r>
            <w:r w:rsidRPr="004A04FD">
              <w:rPr>
                <w:vertAlign w:val="superscript"/>
                <w:lang w:eastAsia="zh-CN"/>
              </w:rPr>
              <w:t>3</w:t>
            </w:r>
            <w:r w:rsidRPr="004A04FD">
              <w:rPr>
                <w:lang w:eastAsia="zh-CN"/>
              </w:rPr>
              <w:t>/h:</w:t>
            </w:r>
          </w:p>
        </w:tc>
        <w:tc>
          <w:tcPr>
            <w:tcW w:w="5778" w:type="dxa"/>
            <w:gridSpan w:val="2"/>
            <w:tcBorders>
              <w:top w:val="dotted" w:sz="4" w:space="0" w:color="auto"/>
              <w:left w:val="single" w:sz="4" w:space="0" w:color="auto"/>
              <w:bottom w:val="dotted" w:sz="4" w:space="0" w:color="auto"/>
              <w:right w:val="nil"/>
            </w:tcBorders>
          </w:tcPr>
          <w:p w:rsidR="00AF55EC" w:rsidRPr="004A04FD" w:rsidP="00500FC7" w14:paraId="4140B4A7" w14:textId="77777777">
            <w:pPr>
              <w:tabs>
                <w:tab w:val="center" w:pos="4395"/>
                <w:tab w:val="center" w:pos="8505"/>
              </w:tabs>
              <w:rPr>
                <w:lang w:eastAsia="zh-CN"/>
              </w:rPr>
            </w:pPr>
          </w:p>
        </w:tc>
      </w:tr>
      <w:tr w14:paraId="5BBAFA61" w14:textId="77777777" w:rsidTr="00500FC7">
        <w:tblPrEx>
          <w:tblW w:w="9180" w:type="dxa"/>
          <w:tblLayout w:type="fixed"/>
          <w:tblLook w:val="04A0"/>
        </w:tblPrEx>
        <w:trPr>
          <w:trHeight w:val="221"/>
        </w:trPr>
        <w:tc>
          <w:tcPr>
            <w:tcW w:w="3402" w:type="dxa"/>
            <w:tcBorders>
              <w:top w:val="dotted" w:sz="4" w:space="0" w:color="auto"/>
              <w:left w:val="nil"/>
              <w:bottom w:val="dotted" w:sz="4" w:space="0" w:color="auto"/>
              <w:right w:val="single" w:sz="4" w:space="0" w:color="auto"/>
            </w:tcBorders>
            <w:hideMark/>
          </w:tcPr>
          <w:p w:rsidR="00AF55EC" w:rsidRPr="004A04FD" w:rsidP="00500FC7" w14:paraId="60BD8476" w14:textId="77777777">
            <w:pPr>
              <w:tabs>
                <w:tab w:val="left" w:pos="6577"/>
                <w:tab w:val="left" w:pos="9923"/>
              </w:tabs>
              <w:jc w:val="right"/>
              <w:rPr>
                <w:lang w:eastAsia="zh-CN"/>
              </w:rPr>
            </w:pPr>
            <w:r w:rsidRPr="004A04FD">
              <w:rPr>
                <w:lang w:eastAsia="zh-CN"/>
              </w:rPr>
              <w:t>Pieteiktā slodze, m</w:t>
            </w:r>
            <w:r w:rsidRPr="004A04FD">
              <w:rPr>
                <w:vertAlign w:val="superscript"/>
                <w:lang w:eastAsia="zh-CN"/>
              </w:rPr>
              <w:t>3</w:t>
            </w:r>
            <w:r>
              <w:rPr>
                <w:lang w:eastAsia="zh-CN"/>
              </w:rPr>
              <w:t>/h</w:t>
            </w:r>
            <w:r w:rsidRPr="004A04FD">
              <w:rPr>
                <w:lang w:eastAsia="zh-CN"/>
              </w:rPr>
              <w:t>:</w:t>
            </w:r>
          </w:p>
        </w:tc>
        <w:tc>
          <w:tcPr>
            <w:tcW w:w="5778" w:type="dxa"/>
            <w:gridSpan w:val="2"/>
            <w:tcBorders>
              <w:top w:val="dotted" w:sz="4" w:space="0" w:color="auto"/>
              <w:left w:val="single" w:sz="4" w:space="0" w:color="auto"/>
              <w:bottom w:val="dotted" w:sz="4" w:space="0" w:color="auto"/>
              <w:right w:val="nil"/>
            </w:tcBorders>
          </w:tcPr>
          <w:p w:rsidR="00AF55EC" w:rsidRPr="004A04FD" w:rsidP="00500FC7" w14:paraId="618F9103" w14:textId="77777777">
            <w:pPr>
              <w:tabs>
                <w:tab w:val="left" w:pos="6577"/>
                <w:tab w:val="left" w:pos="9923"/>
              </w:tabs>
              <w:jc w:val="right"/>
              <w:rPr>
                <w:lang w:eastAsia="zh-CN"/>
              </w:rPr>
            </w:pPr>
          </w:p>
        </w:tc>
      </w:tr>
      <w:tr w14:paraId="1B00DFFD" w14:textId="77777777" w:rsidTr="00500FC7">
        <w:tblPrEx>
          <w:tblW w:w="9180" w:type="dxa"/>
          <w:tblLayout w:type="fixed"/>
          <w:tblLook w:val="04A0"/>
        </w:tblPrEx>
        <w:trPr>
          <w:trHeight w:val="223"/>
        </w:trPr>
        <w:tc>
          <w:tcPr>
            <w:tcW w:w="9180" w:type="dxa"/>
            <w:gridSpan w:val="3"/>
            <w:tcBorders>
              <w:top w:val="double" w:sz="4" w:space="0" w:color="auto"/>
              <w:left w:val="nil"/>
              <w:bottom w:val="nil"/>
              <w:right w:val="nil"/>
            </w:tcBorders>
            <w:hideMark/>
          </w:tcPr>
          <w:p w:rsidR="00AF55EC" w:rsidP="00500FC7" w14:paraId="2F24305C" w14:textId="77777777">
            <w:pPr>
              <w:tabs>
                <w:tab w:val="center" w:pos="4395"/>
                <w:tab w:val="center" w:pos="8505"/>
              </w:tabs>
              <w:jc w:val="both"/>
              <w:rPr>
                <w:lang w:eastAsia="zh-CN"/>
              </w:rPr>
            </w:pPr>
          </w:p>
          <w:p w:rsidR="00AF55EC" w:rsidP="00500FC7" w14:paraId="1A5FFA16" w14:textId="77777777">
            <w:pPr>
              <w:tabs>
                <w:tab w:val="center" w:pos="4395"/>
                <w:tab w:val="center" w:pos="8505"/>
              </w:tabs>
              <w:jc w:val="both"/>
              <w:rPr>
                <w:lang w:eastAsia="zh-CN"/>
              </w:rPr>
            </w:pPr>
          </w:p>
          <w:p w:rsidR="00AF55EC" w:rsidP="00500FC7" w14:paraId="6F09EE76" w14:textId="77777777">
            <w:pPr>
              <w:tabs>
                <w:tab w:val="center" w:pos="4395"/>
                <w:tab w:val="center" w:pos="8505"/>
              </w:tabs>
              <w:jc w:val="both"/>
              <w:rPr>
                <w:lang w:eastAsia="zh-CN"/>
              </w:rPr>
            </w:pPr>
            <w:r>
              <w:rPr>
                <w:lang w:eastAsia="zh-CN"/>
              </w:rPr>
              <w:t>Apzinos, ka veidlapā pieprasītās informācijas nenorādīšana var būt par pamatu iesnieguma atstāšanai bez izskatīšanas.</w:t>
            </w:r>
          </w:p>
          <w:p w:rsidR="00AF55EC" w:rsidP="00500FC7" w14:paraId="6B0E2837" w14:textId="77777777">
            <w:pPr>
              <w:tabs>
                <w:tab w:val="center" w:pos="4395"/>
                <w:tab w:val="center" w:pos="8505"/>
              </w:tabs>
              <w:jc w:val="both"/>
              <w:rPr>
                <w:lang w:eastAsia="zh-CN"/>
              </w:rPr>
            </w:pPr>
          </w:p>
          <w:p w:rsidR="00AF55EC" w:rsidRPr="004A04FD" w:rsidP="00500FC7" w14:paraId="1929AFDB" w14:textId="77777777">
            <w:pPr>
              <w:tabs>
                <w:tab w:val="center" w:pos="4395"/>
                <w:tab w:val="center" w:pos="8505"/>
              </w:tabs>
              <w:jc w:val="both"/>
              <w:rPr>
                <w:lang w:eastAsia="zh-CN"/>
              </w:rPr>
            </w:pPr>
            <w:r w:rsidRPr="004A04FD">
              <w:rPr>
                <w:lang w:eastAsia="zh-CN"/>
              </w:rPr>
              <w:t>Parakstot pieteikumu pieteiktās slodze</w:t>
            </w:r>
            <w:r>
              <w:rPr>
                <w:lang w:eastAsia="zh-CN"/>
              </w:rPr>
              <w:t>s</w:t>
            </w:r>
            <w:r w:rsidRPr="004A04FD">
              <w:rPr>
                <w:lang w:eastAsia="zh-CN"/>
              </w:rPr>
              <w:t xml:space="preserve"> pielietošanai, apliecinu, ka pārsniedzot gazificēt</w:t>
            </w:r>
            <w:r>
              <w:rPr>
                <w:lang w:eastAsia="zh-CN"/>
              </w:rPr>
              <w:t>a</w:t>
            </w:r>
            <w:r w:rsidRPr="004A04FD">
              <w:rPr>
                <w:lang w:eastAsia="zh-CN"/>
              </w:rPr>
              <w:t>jā objektā pieteikto slodzi, apņemos veikt papildus maksu trīskāršā apmērā par norēķinu periodā konstatēto lielāko pārsniegtās pieteiktās slodzes lielumu.</w:t>
            </w:r>
          </w:p>
          <w:p w:rsidR="00AF55EC" w:rsidRPr="004A04FD" w:rsidP="00500FC7" w14:paraId="6F4C315C" w14:textId="77777777">
            <w:pPr>
              <w:tabs>
                <w:tab w:val="center" w:pos="4395"/>
                <w:tab w:val="center" w:pos="8505"/>
              </w:tabs>
              <w:jc w:val="both"/>
              <w:rPr>
                <w:lang w:eastAsia="zh-CN"/>
              </w:rPr>
            </w:pPr>
          </w:p>
          <w:p w:rsidR="00AF55EC" w:rsidRPr="004A04FD" w:rsidP="00500FC7" w14:paraId="590E773A" w14:textId="77777777">
            <w:pPr>
              <w:tabs>
                <w:tab w:val="center" w:pos="4395"/>
                <w:tab w:val="center" w:pos="8505"/>
              </w:tabs>
              <w:jc w:val="both"/>
              <w:rPr>
                <w:lang w:eastAsia="zh-CN"/>
              </w:rPr>
            </w:pPr>
          </w:p>
        </w:tc>
      </w:tr>
      <w:tr w14:paraId="48459051" w14:textId="77777777" w:rsidTr="00500FC7">
        <w:tblPrEx>
          <w:tblW w:w="9180" w:type="dxa"/>
          <w:tblLayout w:type="fixed"/>
          <w:tblLook w:val="04A0"/>
        </w:tblPrEx>
        <w:trPr>
          <w:trHeight w:val="223"/>
        </w:trPr>
        <w:tc>
          <w:tcPr>
            <w:tcW w:w="9180" w:type="dxa"/>
            <w:gridSpan w:val="3"/>
            <w:tcBorders>
              <w:top w:val="nil"/>
              <w:left w:val="nil"/>
              <w:bottom w:val="nil"/>
              <w:right w:val="nil"/>
            </w:tcBorders>
          </w:tcPr>
          <w:p w:rsidR="001E5991" w:rsidP="00500FC7" w14:paraId="6B1E0453" w14:textId="77777777">
            <w:pPr>
              <w:tabs>
                <w:tab w:val="left" w:pos="5704"/>
                <w:tab w:val="center" w:pos="8505"/>
              </w:tabs>
              <w:rPr>
                <w:lang w:eastAsia="zh-CN"/>
              </w:rPr>
            </w:pPr>
          </w:p>
          <w:p w:rsidR="00AF55EC" w:rsidRPr="004A04FD" w:rsidP="00500FC7" w14:paraId="0B9DA051" w14:textId="67A975ED">
            <w:pPr>
              <w:tabs>
                <w:tab w:val="left" w:pos="5704"/>
                <w:tab w:val="center" w:pos="8505"/>
              </w:tabs>
              <w:rPr>
                <w:lang w:eastAsia="zh-CN"/>
              </w:rPr>
            </w:pPr>
            <w:r w:rsidRPr="004A04FD">
              <w:rPr>
                <w:lang w:eastAsia="zh-CN"/>
              </w:rPr>
              <w:t>Paraksts/atšifrējums:_______________________</w:t>
            </w:r>
            <w:r w:rsidRPr="004A04FD">
              <w:rPr>
                <w:lang w:eastAsia="zh-CN"/>
              </w:rPr>
              <w:tab/>
              <w:t>Datums:________________</w:t>
            </w:r>
          </w:p>
          <w:p w:rsidR="00AF55EC" w:rsidP="00500FC7" w14:paraId="391BE7C4" w14:textId="77777777">
            <w:pPr>
              <w:tabs>
                <w:tab w:val="left" w:pos="5704"/>
                <w:tab w:val="center" w:pos="8505"/>
              </w:tabs>
              <w:rPr>
                <w:lang w:eastAsia="zh-CN"/>
              </w:rPr>
            </w:pPr>
          </w:p>
          <w:p w:rsidR="00AF55EC" w:rsidP="00500FC7" w14:paraId="7E9727B6" w14:textId="77777777">
            <w:pPr>
              <w:tabs>
                <w:tab w:val="left" w:pos="5704"/>
                <w:tab w:val="center" w:pos="8505"/>
              </w:tabs>
              <w:rPr>
                <w:lang w:eastAsia="zh-CN"/>
              </w:rPr>
            </w:pPr>
          </w:p>
          <w:p w:rsidR="00AF55EC" w:rsidP="00500FC7" w14:paraId="06CB3D3B" w14:textId="77777777">
            <w:pPr>
              <w:tabs>
                <w:tab w:val="left" w:pos="5704"/>
                <w:tab w:val="center" w:pos="8505"/>
              </w:tabs>
              <w:rPr>
                <w:lang w:eastAsia="zh-CN"/>
              </w:rPr>
            </w:pPr>
          </w:p>
          <w:p w:rsidR="00AF55EC" w:rsidRPr="004A04FD" w:rsidP="00500FC7" w14:paraId="3DF8C19F" w14:textId="77777777">
            <w:pPr>
              <w:tabs>
                <w:tab w:val="left" w:pos="5704"/>
                <w:tab w:val="center" w:pos="8505"/>
              </w:tabs>
              <w:rPr>
                <w:lang w:eastAsia="zh-CN"/>
              </w:rPr>
            </w:pPr>
          </w:p>
          <w:p w:rsidR="00AF55EC" w:rsidRPr="00B6720D" w:rsidP="00500FC7" w14:paraId="0B28CBA7" w14:textId="77777777">
            <w:pPr>
              <w:pStyle w:val="NormalWeb"/>
              <w:spacing w:before="0" w:beforeAutospacing="0" w:after="0" w:afterAutospacing="0"/>
              <w:jc w:val="both"/>
              <w:rPr>
                <w:rFonts w:ascii="Times New Roman" w:hAnsi="Times New Roman" w:cs="Times New Roman"/>
                <w:iCs/>
                <w:lang w:val="lv-LV"/>
              </w:rPr>
            </w:pPr>
            <w:r w:rsidRPr="00B6720D">
              <w:rPr>
                <w:rFonts w:ascii="Times New Roman" w:hAnsi="Times New Roman" w:cs="Times New Roman"/>
                <w:b/>
                <w:bCs/>
                <w:iCs/>
                <w:lang w:val="lv-LV"/>
              </w:rPr>
              <w:t>Informācija par personas datu apstrādi</w:t>
            </w:r>
            <w:r w:rsidRPr="00B6720D">
              <w:rPr>
                <w:rFonts w:ascii="Times New Roman" w:hAnsi="Times New Roman" w:cs="Times New Roman"/>
                <w:iCs/>
                <w:lang w:val="lv-LV"/>
              </w:rPr>
              <w:t xml:space="preserve"> – Akciju sabiedrība “</w:t>
            </w:r>
            <w:r w:rsidRPr="00B6720D">
              <w:rPr>
                <w:rFonts w:ascii="Times New Roman" w:hAnsi="Times New Roman" w:cs="Times New Roman"/>
                <w:iCs/>
                <w:lang w:val="lv-LV"/>
              </w:rPr>
              <w:t>Gaso</w:t>
            </w:r>
            <w:r w:rsidRPr="00B6720D">
              <w:rPr>
                <w:rFonts w:ascii="Times New Roman" w:hAnsi="Times New Roman" w:cs="Times New Roman"/>
                <w:iCs/>
                <w:lang w:val="lv-LV"/>
              </w:rPr>
              <w:t>”, pamatojoties uz Ministru kabineta 2017.gada 7.februāra noteikumiem Nr.78 “Dabasgāzes tirdzniecības un lietošanas noteikumi”, apstrādā personas datus iesnieguma izskatīšanas nolūkā. Šī nolūka sasniegšana var ietver tai skaitā šādus procesus: iesnieguma izvērtēšana, saziņa, papildu informācijas pieprasīšana, iegūšana, pārbaude, objekta apsekošana, iesniegumā ietvertā lūguma izpilde vai atteikums to izpildīt.</w:t>
            </w:r>
          </w:p>
          <w:p w:rsidR="00AF55EC" w:rsidRPr="00B6720D" w:rsidP="00500FC7" w14:paraId="371985CF" w14:textId="77777777">
            <w:pPr>
              <w:pStyle w:val="NormalWeb"/>
              <w:spacing w:before="0" w:beforeAutospacing="0" w:after="0" w:afterAutospacing="0"/>
              <w:jc w:val="both"/>
              <w:rPr>
                <w:rFonts w:ascii="Times New Roman" w:hAnsi="Times New Roman" w:cs="Times New Roman"/>
                <w:iCs/>
                <w:lang w:val="lv-LV"/>
              </w:rPr>
            </w:pPr>
            <w:r w:rsidRPr="00B6720D">
              <w:rPr>
                <w:rFonts w:ascii="Times New Roman" w:hAnsi="Times New Roman" w:cs="Times New Roman"/>
                <w:iCs/>
                <w:lang w:val="lv-LV"/>
              </w:rPr>
              <w:t>Akciju sabiedrība “</w:t>
            </w:r>
            <w:r w:rsidRPr="00B6720D">
              <w:rPr>
                <w:rFonts w:ascii="Times New Roman" w:hAnsi="Times New Roman" w:cs="Times New Roman"/>
                <w:iCs/>
                <w:lang w:val="lv-LV"/>
              </w:rPr>
              <w:t>Gaso</w:t>
            </w:r>
            <w:r w:rsidRPr="00B6720D">
              <w:rPr>
                <w:rFonts w:ascii="Times New Roman" w:hAnsi="Times New Roman" w:cs="Times New Roman"/>
                <w:iCs/>
                <w:lang w:val="lv-LV"/>
              </w:rPr>
              <w:t>” iesniegtos personas datus var izmantot arī citos nolūkos, ja tas nepieciešams, lai īstenotu sadales sistēmas operatora tiesības, pienākumus</w:t>
            </w:r>
            <w:r w:rsidRPr="00B6720D">
              <w:rPr>
                <w:rFonts w:ascii="Times New Roman" w:hAnsi="Times New Roman" w:cs="Times New Roman"/>
                <w:lang w:val="lv-LV"/>
              </w:rPr>
              <w:t xml:space="preserve"> </w:t>
            </w:r>
            <w:r w:rsidRPr="00B6720D">
              <w:rPr>
                <w:rFonts w:ascii="Times New Roman" w:hAnsi="Times New Roman" w:cs="Times New Roman"/>
                <w:iCs/>
                <w:lang w:val="lv-LV"/>
              </w:rPr>
              <w:t>atbilstoši normatīvajiem aktiem.</w:t>
            </w:r>
          </w:p>
          <w:p w:rsidR="00AF55EC" w:rsidRPr="00B6720D" w:rsidP="00500FC7" w14:paraId="692F1C41" w14:textId="77777777">
            <w:pPr>
              <w:pStyle w:val="NormalWeb"/>
              <w:spacing w:before="0" w:beforeAutospacing="0" w:after="0" w:afterAutospacing="0"/>
              <w:jc w:val="both"/>
              <w:rPr>
                <w:rFonts w:ascii="Times New Roman" w:hAnsi="Times New Roman" w:cs="Times New Roman"/>
                <w:iCs/>
                <w:lang w:val="lv-LV"/>
              </w:rPr>
            </w:pPr>
          </w:p>
          <w:p w:rsidR="00AF55EC" w:rsidRPr="00B6720D" w:rsidP="00500FC7" w14:paraId="4F5BE372" w14:textId="77777777">
            <w:pPr>
              <w:pStyle w:val="NormalWeb"/>
              <w:spacing w:before="0" w:beforeAutospacing="0" w:after="0" w:afterAutospacing="0"/>
              <w:jc w:val="both"/>
              <w:rPr>
                <w:rFonts w:ascii="Times New Roman" w:hAnsi="Times New Roman" w:cs="Times New Roman"/>
                <w:iCs/>
                <w:lang w:val="lv-LV"/>
              </w:rPr>
            </w:pPr>
            <w:r w:rsidRPr="00B6720D">
              <w:rPr>
                <w:rFonts w:ascii="Times New Roman" w:hAnsi="Times New Roman" w:cs="Times New Roman"/>
                <w:iCs/>
                <w:lang w:val="lv-LV"/>
              </w:rPr>
              <w:t xml:space="preserve">Ar papildu informāciju par personas datu apstrādi un datu subjekta tiesībām var iepazīties </w:t>
            </w:r>
            <w:hyperlink r:id="rId4" w:history="1">
              <w:r w:rsidRPr="00B6720D">
                <w:rPr>
                  <w:rStyle w:val="Hyperlink"/>
                  <w:rFonts w:ascii="Times New Roman" w:hAnsi="Times New Roman" w:cs="Times New Roman"/>
                  <w:iCs/>
                  <w:lang w:val="lv-LV"/>
                </w:rPr>
                <w:t>www.gaso.lv/pda</w:t>
              </w:r>
            </w:hyperlink>
            <w:r w:rsidRPr="00B6720D">
              <w:rPr>
                <w:rFonts w:ascii="Times New Roman" w:hAnsi="Times New Roman" w:cs="Times New Roman"/>
                <w:iCs/>
                <w:lang w:val="lv-LV"/>
              </w:rPr>
              <w:t>.</w:t>
            </w:r>
          </w:p>
          <w:p w:rsidR="00AF55EC" w:rsidRPr="00B6720D" w:rsidP="00500FC7" w14:paraId="13317398" w14:textId="77777777">
            <w:pPr>
              <w:rPr>
                <w:iCs/>
                <w:sz w:val="22"/>
                <w:szCs w:val="22"/>
              </w:rPr>
            </w:pPr>
            <w:r w:rsidRPr="00B6720D">
              <w:rPr>
                <w:iCs/>
                <w:sz w:val="22"/>
                <w:szCs w:val="22"/>
              </w:rPr>
              <w:t>Pārzinis: Akciju sabiedrība “</w:t>
            </w:r>
            <w:r w:rsidRPr="00B6720D">
              <w:rPr>
                <w:iCs/>
                <w:sz w:val="22"/>
                <w:szCs w:val="22"/>
              </w:rPr>
              <w:t>Gaso</w:t>
            </w:r>
            <w:r w:rsidRPr="00B6720D">
              <w:rPr>
                <w:iCs/>
                <w:sz w:val="22"/>
                <w:szCs w:val="22"/>
              </w:rPr>
              <w:t xml:space="preserve">”, reģistrācijas Nr.40203108921, adrese saziņai pa pastu: Vagonu iela 20, Rīga, LV-1009, e-pasta adrese: </w:t>
            </w:r>
            <w:hyperlink r:id="rId5" w:history="1">
              <w:r w:rsidRPr="00B6720D">
                <w:rPr>
                  <w:rStyle w:val="Hyperlink"/>
                  <w:iCs/>
                  <w:sz w:val="22"/>
                  <w:szCs w:val="22"/>
                </w:rPr>
                <w:t>info@gaso.lv</w:t>
              </w:r>
            </w:hyperlink>
            <w:r w:rsidRPr="00B6720D">
              <w:rPr>
                <w:iCs/>
                <w:sz w:val="22"/>
                <w:szCs w:val="22"/>
              </w:rPr>
              <w:t>.</w:t>
            </w:r>
          </w:p>
          <w:p w:rsidR="00AF55EC" w:rsidRPr="004A04FD" w:rsidP="00500FC7" w14:paraId="6B2C4643" w14:textId="77777777">
            <w:pPr>
              <w:tabs>
                <w:tab w:val="left" w:pos="5704"/>
                <w:tab w:val="center" w:pos="8505"/>
              </w:tabs>
              <w:rPr>
                <w:lang w:eastAsia="zh-CN"/>
              </w:rPr>
            </w:pPr>
          </w:p>
          <w:p w:rsidR="00AF55EC" w:rsidRPr="004A04FD" w:rsidP="00500FC7" w14:paraId="1C907373" w14:textId="77777777">
            <w:pPr>
              <w:tabs>
                <w:tab w:val="left" w:pos="5704"/>
                <w:tab w:val="center" w:pos="8505"/>
              </w:tabs>
              <w:rPr>
                <w:lang w:eastAsia="zh-CN"/>
              </w:rPr>
            </w:pPr>
          </w:p>
          <w:p w:rsidR="00AF55EC" w:rsidRPr="004A04FD" w:rsidP="00500FC7" w14:paraId="6CA9C709" w14:textId="77777777">
            <w:pPr>
              <w:tabs>
                <w:tab w:val="left" w:pos="6521"/>
              </w:tabs>
              <w:ind w:firstLine="709"/>
              <w:jc w:val="both"/>
              <w:rPr>
                <w:lang w:eastAsia="zh-CN"/>
              </w:rPr>
            </w:pPr>
          </w:p>
        </w:tc>
      </w:tr>
    </w:tbl>
    <w:p w:rsidR="00AF55EC" w:rsidRPr="00EF6037" w:rsidP="00592CCE" w14:paraId="16C6526A" w14:textId="77777777">
      <w:pPr>
        <w:spacing w:before="360" w:after="360"/>
        <w:rPr>
          <w:sz w:val="20"/>
          <w:szCs w:val="20"/>
        </w:rPr>
      </w:pPr>
    </w:p>
    <w:sectPr w:rsidSect="003E07BC">
      <w:headerReference w:type="first" r:id="rId6"/>
      <w:pgSz w:w="11900" w:h="16840" w:code="9"/>
      <w:pgMar w:top="1134" w:right="1268" w:bottom="1134" w:left="1134" w:header="2552"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BA"/>
    <w:family w:val="roman"/>
    <w:pitch w:val="variable"/>
    <w:sig w:usb0="E00006FF" w:usb1="420024FF" w:usb2="02000000" w:usb3="00000000" w:csb0="0000019F" w:csb1="00000000"/>
  </w:font>
  <w:font w:name="MS Minngs">
    <w:altName w:val="MS Gothic"/>
    <w:panose1 w:val="00000000000000000000"/>
    <w:charset w:val="80"/>
    <w:family w:val="roman"/>
    <w:notTrueType/>
    <w:pitch w:val="fixed"/>
    <w:sig w:usb0="00000001" w:usb1="08070000" w:usb2="00000010" w:usb3="00000000" w:csb0="00020000" w:csb1="00000000"/>
  </w:font>
  <w:font w:name="Times New Roman">
    <w:panose1 w:val="02020603050405020304"/>
    <w:charset w:val="BA"/>
    <w:family w:val="roman"/>
    <w:pitch w:val="variable"/>
    <w:sig w:usb0="E0002EFF" w:usb1="C000785B" w:usb2="00000009" w:usb3="00000000" w:csb0="000001FF" w:csb1="00000000"/>
  </w:font>
  <w:font w:name="Lucida Grande">
    <w:altName w:val="Segoe UI"/>
    <w:panose1 w:val="00000000000000000000"/>
    <w:charset w:val="00"/>
    <w:family w:val="auto"/>
    <w:notTrueType/>
    <w:pitch w:val="variable"/>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64DB" w14:paraId="6A77F2D7" w14:textId="77777777">
    <w:pPr>
      <w:pStyle w:val="Header"/>
    </w:pPr>
    <w:r>
      <w:rPr>
        <w:noProof/>
      </w:rPr>
      <w:drawing>
        <wp:anchor distT="0" distB="0" distL="114300" distR="114300" simplePos="0" relativeHeight="251658240" behindDoc="1" locked="1" layoutInCell="1" allowOverlap="1">
          <wp:simplePos x="0" y="0"/>
          <wp:positionH relativeFrom="page">
            <wp:align>center</wp:align>
          </wp:positionH>
          <wp:positionV relativeFrom="page">
            <wp:align>top</wp:align>
          </wp:positionV>
          <wp:extent cx="7553325" cy="1543050"/>
          <wp:effectExtent l="0" t="0" r="0" b="0"/>
          <wp:wrapNone/>
          <wp:docPr id="2" name="Picture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descr="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7553325" cy="15430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attachedTemplate r:id="rId1"/>
  <w:defaultTabStop w:val="720"/>
  <w:evenAndOddHeaders/>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EE1"/>
    <w:rsid w:val="000064DB"/>
    <w:rsid w:val="00022193"/>
    <w:rsid w:val="000475F1"/>
    <w:rsid w:val="000607D7"/>
    <w:rsid w:val="000D522C"/>
    <w:rsid w:val="000F3A83"/>
    <w:rsid w:val="001245A9"/>
    <w:rsid w:val="001E5991"/>
    <w:rsid w:val="00212A1C"/>
    <w:rsid w:val="00255B51"/>
    <w:rsid w:val="002F7DA5"/>
    <w:rsid w:val="003133EA"/>
    <w:rsid w:val="003160BB"/>
    <w:rsid w:val="00322EE1"/>
    <w:rsid w:val="003E07BC"/>
    <w:rsid w:val="00434A90"/>
    <w:rsid w:val="00443681"/>
    <w:rsid w:val="004439BB"/>
    <w:rsid w:val="004A04FD"/>
    <w:rsid w:val="004D39BE"/>
    <w:rsid w:val="00500FC7"/>
    <w:rsid w:val="00512FC5"/>
    <w:rsid w:val="00592CCE"/>
    <w:rsid w:val="006E0EFC"/>
    <w:rsid w:val="0075154F"/>
    <w:rsid w:val="00777C8D"/>
    <w:rsid w:val="007838F3"/>
    <w:rsid w:val="00804E99"/>
    <w:rsid w:val="008454CF"/>
    <w:rsid w:val="008D64EC"/>
    <w:rsid w:val="00944998"/>
    <w:rsid w:val="00962937"/>
    <w:rsid w:val="00980204"/>
    <w:rsid w:val="009C2DE4"/>
    <w:rsid w:val="00A73446"/>
    <w:rsid w:val="00AF55EC"/>
    <w:rsid w:val="00B109BA"/>
    <w:rsid w:val="00B22859"/>
    <w:rsid w:val="00B6720D"/>
    <w:rsid w:val="00B75E00"/>
    <w:rsid w:val="00B93D45"/>
    <w:rsid w:val="00BA3CFF"/>
    <w:rsid w:val="00BD5FA0"/>
    <w:rsid w:val="00C121FB"/>
    <w:rsid w:val="00C713D3"/>
    <w:rsid w:val="00C95EA5"/>
    <w:rsid w:val="00D01926"/>
    <w:rsid w:val="00DA0275"/>
    <w:rsid w:val="00DA734F"/>
    <w:rsid w:val="00E11AAE"/>
    <w:rsid w:val="00E33839"/>
    <w:rsid w:val="00E46F89"/>
    <w:rsid w:val="00E9220E"/>
    <w:rsid w:val="00EF6037"/>
    <w:rsid w:val="00FC576C"/>
    <w:rsid w:val="00FF0531"/>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doNotIncludeSubdocsInStats/>
  <w14:docId w14:val="6A77F2B9"/>
  <w15:chartTrackingRefBased/>
  <w15:docId w15:val="{7029AF65-5B69-4F97-BCD8-5AEFF66C6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ngs" w:hAnsi="Cambria"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2EE1"/>
    <w:rPr>
      <w:rFonts w:ascii="Times New Roman" w:eastAsia="Times New Roman" w:hAnsi="Times New Roman"/>
      <w:sz w:val="24"/>
      <w:szCs w:val="24"/>
      <w:lang w:eastAsia="en-US"/>
    </w:rPr>
  </w:style>
  <w:style w:type="paragraph" w:styleId="Heading2">
    <w:name w:val="heading 2"/>
    <w:basedOn w:val="Normal"/>
    <w:next w:val="Normal"/>
    <w:link w:val="Heading2Char"/>
    <w:qFormat/>
    <w:rsid w:val="00322EE1"/>
    <w:pPr>
      <w:keepNext/>
      <w:jc w:val="both"/>
      <w:outlineLvl w:val="1"/>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1245A9"/>
    <w:rPr>
      <w:rFonts w:ascii="Lucida Grande" w:hAnsi="Lucida Grande" w:cs="Lucida Grande"/>
      <w:sz w:val="18"/>
      <w:szCs w:val="18"/>
    </w:rPr>
  </w:style>
  <w:style w:type="character" w:customStyle="1" w:styleId="BalloonTextChar">
    <w:name w:val="Balloon Text Char"/>
    <w:basedOn w:val="DefaultParagraphFont"/>
    <w:link w:val="BalloonText"/>
    <w:semiHidden/>
    <w:rsid w:val="001245A9"/>
    <w:rPr>
      <w:rFonts w:ascii="Lucida Grande" w:hAnsi="Lucida Grande" w:cs="Lucida Grande"/>
      <w:sz w:val="18"/>
      <w:szCs w:val="18"/>
    </w:rPr>
  </w:style>
  <w:style w:type="paragraph" w:styleId="Header">
    <w:name w:val="header"/>
    <w:basedOn w:val="Normal"/>
    <w:link w:val="HeaderChar"/>
    <w:rsid w:val="00C713D3"/>
    <w:pPr>
      <w:tabs>
        <w:tab w:val="center" w:pos="4320"/>
        <w:tab w:val="right" w:pos="8640"/>
      </w:tabs>
    </w:pPr>
  </w:style>
  <w:style w:type="character" w:customStyle="1" w:styleId="HeaderChar">
    <w:name w:val="Header Char"/>
    <w:basedOn w:val="DefaultParagraphFont"/>
    <w:link w:val="Header"/>
    <w:rsid w:val="00C713D3"/>
    <w:rPr>
      <w:rFonts w:cs="Times New Roman"/>
    </w:rPr>
  </w:style>
  <w:style w:type="paragraph" w:styleId="Footer">
    <w:name w:val="footer"/>
    <w:basedOn w:val="Normal"/>
    <w:link w:val="FooterChar"/>
    <w:rsid w:val="00C713D3"/>
    <w:pPr>
      <w:tabs>
        <w:tab w:val="center" w:pos="4320"/>
        <w:tab w:val="right" w:pos="8640"/>
      </w:tabs>
    </w:pPr>
  </w:style>
  <w:style w:type="character" w:customStyle="1" w:styleId="FooterChar">
    <w:name w:val="Footer Char"/>
    <w:basedOn w:val="DefaultParagraphFont"/>
    <w:link w:val="Footer"/>
    <w:rsid w:val="00C713D3"/>
    <w:rPr>
      <w:rFonts w:cs="Times New Roman"/>
    </w:rPr>
  </w:style>
  <w:style w:type="character" w:customStyle="1" w:styleId="Heading2Char">
    <w:name w:val="Heading 2 Char"/>
    <w:basedOn w:val="DefaultParagraphFont"/>
    <w:link w:val="Heading2"/>
    <w:rsid w:val="00322EE1"/>
    <w:rPr>
      <w:rFonts w:ascii="Times New Roman" w:eastAsia="Times New Roman" w:hAnsi="Times New Roman"/>
      <w:sz w:val="24"/>
      <w:lang w:eastAsia="en-US"/>
    </w:rPr>
  </w:style>
  <w:style w:type="paragraph" w:styleId="ListParagraph">
    <w:name w:val="List Paragraph"/>
    <w:basedOn w:val="Normal"/>
    <w:uiPriority w:val="34"/>
    <w:qFormat/>
    <w:rsid w:val="009C2DE4"/>
    <w:pPr>
      <w:ind w:left="720"/>
      <w:contextualSpacing/>
    </w:pPr>
  </w:style>
  <w:style w:type="character" w:styleId="Hyperlink">
    <w:name w:val="Hyperlink"/>
    <w:basedOn w:val="DefaultParagraphFont"/>
    <w:uiPriority w:val="99"/>
    <w:semiHidden/>
    <w:unhideWhenUsed/>
    <w:rsid w:val="00AF55EC"/>
    <w:rPr>
      <w:color w:val="0563C1"/>
      <w:u w:val="single"/>
    </w:rPr>
  </w:style>
  <w:style w:type="paragraph" w:styleId="NormalWeb">
    <w:name w:val="Normal (Web)"/>
    <w:basedOn w:val="Normal"/>
    <w:uiPriority w:val="99"/>
    <w:semiHidden/>
    <w:unhideWhenUsed/>
    <w:rsid w:val="00AF55EC"/>
    <w:pPr>
      <w:spacing w:before="100" w:beforeAutospacing="1" w:after="100" w:afterAutospacing="1"/>
    </w:pPr>
    <w:rPr>
      <w:rFonts w:ascii="Calibri" w:hAnsi="Calibri" w:eastAsiaTheme="minorHAnsi" w:cs="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www.gaso.lv/pda" TargetMode="External" /><Relationship Id="rId5" Type="http://schemas.openxmlformats.org/officeDocument/2006/relationships/hyperlink" Target="mailto:info@gaso.lv" TargetMode="External" /><Relationship Id="rId6" Type="http://schemas.openxmlformats.org/officeDocument/2006/relationships/header" Target="header1.xml" /><Relationship Id="rId7" Type="http://schemas.openxmlformats.org/officeDocument/2006/relationships/theme" Target="theme/theme1.xml" /><Relationship Id="rId8" Type="http://schemas.openxmlformats.org/officeDocument/2006/relationships/styles" Target="styles.xml" /></Relationships>
</file>

<file path=word/_rels/header1.xml.rels><?xml version="1.0" encoding="utf-8" standalone="yes"?><Relationships xmlns="http://schemas.openxmlformats.org/package/2006/relationships"><Relationship Id="rId1" Type="http://schemas.openxmlformats.org/officeDocument/2006/relationships/image" Target="media/image1.jpe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Margarita_Henzele\Downloads\1_visp&#257;r&#299;g&#257;.veidlapa%20(1).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1_vispārīgā.veidlapa (1).dot</Template>
  <TotalTime>30</TotalTime>
  <Pages>5</Pages>
  <Words>1519</Words>
  <Characters>10647</Characters>
  <Application>Microsoft Office Word</Application>
  <DocSecurity>0</DocSecurity>
  <Lines>88</Lines>
  <Paragraphs>24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Margarita Henzele</dc:creator>
  <cp:lastModifiedBy>Iveta Valtere</cp:lastModifiedBy>
  <cp:revision>8</cp:revision>
  <cp:lastPrinted>1899-12-31T22:00:00Z</cp:lastPrinted>
  <dcterms:created xsi:type="dcterms:W3CDTF">2022-05-16T08:03:00Z</dcterms:created>
  <dcterms:modified xsi:type="dcterms:W3CDTF">2023-12-27T14:45:00Z</dcterms:modified>
</cp:coreProperties>
</file>